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37" w:rsidRPr="00C14A5C" w:rsidRDefault="00BB1B37" w:rsidP="00BB1B37">
      <w:pPr>
        <w:jc w:val="center"/>
        <w:rPr>
          <w:rFonts w:eastAsia="MS Mincho" w:cs="Times New Roman"/>
          <w:i/>
          <w:szCs w:val="24"/>
        </w:rPr>
      </w:pPr>
      <w:proofErr w:type="gramStart"/>
      <w:r w:rsidRPr="00C14A5C">
        <w:rPr>
          <w:rFonts w:eastAsia="MS Mincho" w:cs="Times New Roman"/>
          <w:i/>
          <w:szCs w:val="24"/>
        </w:rPr>
        <w:t>20</w:t>
      </w:r>
      <w:r w:rsidRPr="00C14A5C">
        <w:rPr>
          <w:rFonts w:eastAsia="MS Mincho" w:cs="Times New Roman"/>
          <w:i/>
          <w:szCs w:val="24"/>
          <w:vertAlign w:val="superscript"/>
        </w:rPr>
        <w:t>th</w:t>
      </w:r>
      <w:proofErr w:type="gramEnd"/>
      <w:r w:rsidRPr="00C14A5C">
        <w:rPr>
          <w:rFonts w:eastAsia="MS Mincho" w:cs="Times New Roman"/>
          <w:i/>
          <w:szCs w:val="24"/>
        </w:rPr>
        <w:t xml:space="preserve"> Annual National Conference on Rural Independent Living</w:t>
      </w:r>
    </w:p>
    <w:p w:rsidR="00C14A5C" w:rsidRDefault="00BB1B37" w:rsidP="00C14A5C">
      <w:pPr>
        <w:jc w:val="center"/>
        <w:rPr>
          <w:rFonts w:cs="Times New Roman"/>
          <w:b/>
          <w:sz w:val="28"/>
          <w:szCs w:val="28"/>
        </w:rPr>
      </w:pPr>
      <w:r w:rsidRPr="00C14A5C">
        <w:rPr>
          <w:rFonts w:cs="Times New Roman"/>
          <w:b/>
          <w:sz w:val="28"/>
          <w:szCs w:val="28"/>
        </w:rPr>
        <w:t xml:space="preserve">Workshop:  </w:t>
      </w:r>
    </w:p>
    <w:p w:rsidR="00C14A5C" w:rsidRPr="00C14A5C" w:rsidRDefault="00C14A5C" w:rsidP="00C14A5C">
      <w:pPr>
        <w:jc w:val="center"/>
        <w:rPr>
          <w:rFonts w:eastAsia="MS Mincho"/>
          <w:i/>
          <w:sz w:val="28"/>
          <w:szCs w:val="28"/>
        </w:rPr>
      </w:pPr>
      <w:r w:rsidRPr="00C14A5C">
        <w:rPr>
          <w:rFonts w:eastAsia="MS Mincho"/>
          <w:b/>
          <w:bCs/>
          <w:i/>
          <w:sz w:val="28"/>
          <w:szCs w:val="28"/>
        </w:rPr>
        <w:t>“Department of Justice’s 2010 Revised ADA Regulations: An Overview”</w:t>
      </w:r>
    </w:p>
    <w:p w:rsidR="00BB1B37" w:rsidRPr="00C14A5C" w:rsidRDefault="00BB1B37" w:rsidP="00BB1B37">
      <w:pPr>
        <w:rPr>
          <w:rFonts w:cs="Times New Roman"/>
          <w:sz w:val="20"/>
          <w:szCs w:val="20"/>
        </w:rPr>
      </w:pPr>
    </w:p>
    <w:p w:rsidR="00BB1B37" w:rsidRPr="00BB1B37" w:rsidRDefault="00BB1B37" w:rsidP="00BB1B37">
      <w:pPr>
        <w:rPr>
          <w:rFonts w:cs="Times New Roman"/>
          <w:b/>
          <w:i/>
          <w:szCs w:val="24"/>
        </w:rPr>
      </w:pPr>
      <w:r w:rsidRPr="00BB1B37">
        <w:rPr>
          <w:rFonts w:cs="Times New Roman"/>
          <w:b/>
          <w:i/>
          <w:szCs w:val="24"/>
        </w:rPr>
        <w:t>RESOURCES</w:t>
      </w:r>
    </w:p>
    <w:p w:rsidR="00BB1B37" w:rsidRPr="00BB1B37" w:rsidRDefault="00BB1B37" w:rsidP="00BB1B37">
      <w:pPr>
        <w:rPr>
          <w:rFonts w:cs="Times New Roman"/>
          <w:sz w:val="20"/>
          <w:szCs w:val="20"/>
        </w:rPr>
      </w:pPr>
    </w:p>
    <w:p w:rsidR="00BB1B37" w:rsidRPr="00BB1B37" w:rsidRDefault="00BB1B37" w:rsidP="00BB1B37">
      <w:pPr>
        <w:rPr>
          <w:rFonts w:cs="Times New Roman"/>
          <w:b/>
          <w:szCs w:val="24"/>
        </w:rPr>
      </w:pPr>
      <w:r w:rsidRPr="00BB1B37">
        <w:rPr>
          <w:rFonts w:cs="Times New Roman"/>
          <w:b/>
          <w:szCs w:val="24"/>
        </w:rPr>
        <w:t>PowerPoint Presentation</w:t>
      </w:r>
    </w:p>
    <w:p w:rsidR="00BB1B37" w:rsidRPr="00BB1B37" w:rsidRDefault="00BB1B37" w:rsidP="00BB1B37">
      <w:pPr>
        <w:rPr>
          <w:rFonts w:cs="Times New Roman"/>
          <w:szCs w:val="24"/>
        </w:rPr>
      </w:pPr>
      <w:r w:rsidRPr="00BB1B37">
        <w:rPr>
          <w:rFonts w:cs="Times New Roman"/>
          <w:szCs w:val="24"/>
        </w:rPr>
        <w:t xml:space="preserve">If you would like to receive the workshop presentation, please email Julie Ballinger, Southwest ADA Center Regional Affiliate, at </w:t>
      </w:r>
      <w:hyperlink r:id="rId8" w:history="1">
        <w:r w:rsidRPr="00BB1B37">
          <w:rPr>
            <w:rStyle w:val="Hyperlink"/>
            <w:rFonts w:cs="Times New Roman"/>
            <w:szCs w:val="24"/>
          </w:rPr>
          <w:t>julieb4@flash.net</w:t>
        </w:r>
      </w:hyperlink>
      <w:r w:rsidRPr="00BB1B37">
        <w:rPr>
          <w:rFonts w:cs="Times New Roman"/>
          <w:szCs w:val="24"/>
        </w:rPr>
        <w:t xml:space="preserve"> with your request.  She will email you the presentation in the formats of .PPT, text, and large print.</w:t>
      </w:r>
    </w:p>
    <w:p w:rsidR="009162E6" w:rsidRPr="00BB1B37" w:rsidRDefault="009162E6" w:rsidP="009162E6">
      <w:pPr>
        <w:jc w:val="center"/>
        <w:rPr>
          <w:rFonts w:cs="Times New Roman"/>
          <w:b/>
          <w:bCs/>
          <w:sz w:val="20"/>
          <w:szCs w:val="20"/>
        </w:rPr>
      </w:pPr>
    </w:p>
    <w:p w:rsidR="00BB1B37" w:rsidRPr="00BB1B37" w:rsidRDefault="00BB1B37" w:rsidP="00BB1B37">
      <w:pPr>
        <w:rPr>
          <w:rStyle w:val="Hyperlink"/>
          <w:rFonts w:cs="Times New Roman"/>
          <w:b/>
          <w:color w:val="auto"/>
          <w:szCs w:val="24"/>
          <w:u w:val="none"/>
        </w:rPr>
      </w:pPr>
      <w:r w:rsidRPr="00BB1B37">
        <w:rPr>
          <w:rFonts w:cs="Times New Roman"/>
          <w:b/>
          <w:szCs w:val="24"/>
          <w:shd w:val="clear" w:color="auto" w:fill="FFFFFF"/>
        </w:rPr>
        <w:t>ADA National Network</w:t>
      </w:r>
    </w:p>
    <w:p w:rsidR="00BB1B37" w:rsidRPr="00BB1B37" w:rsidRDefault="00BB1B37" w:rsidP="00BB1B37">
      <w:pPr>
        <w:rPr>
          <w:rStyle w:val="Hyperlink"/>
          <w:rFonts w:cs="Times New Roman"/>
          <w:color w:val="auto"/>
          <w:szCs w:val="24"/>
          <w:u w:val="none"/>
        </w:rPr>
      </w:pPr>
      <w:r w:rsidRPr="00BB1B37">
        <w:rPr>
          <w:rFonts w:cs="Times New Roman"/>
          <w:szCs w:val="24"/>
          <w:shd w:val="clear" w:color="auto" w:fill="FFFFFF"/>
        </w:rPr>
        <w:t xml:space="preserve">Through its ten regional centers, the ADA National Network provides information, guidance and training on the Americans with Disabilities Act (ADA).  Services </w:t>
      </w:r>
      <w:proofErr w:type="gramStart"/>
      <w:r w:rsidRPr="00BB1B37">
        <w:rPr>
          <w:rFonts w:cs="Times New Roman"/>
          <w:szCs w:val="24"/>
          <w:shd w:val="clear" w:color="auto" w:fill="FFFFFF"/>
        </w:rPr>
        <w:t>are tailored</w:t>
      </w:r>
      <w:proofErr w:type="gramEnd"/>
      <w:r w:rsidRPr="00BB1B37">
        <w:rPr>
          <w:rFonts w:cs="Times New Roman"/>
          <w:szCs w:val="24"/>
          <w:shd w:val="clear" w:color="auto" w:fill="FFFFFF"/>
        </w:rPr>
        <w:t xml:space="preserve"> to meet the needs of business, government and individuals at local, regional and national levels.</w:t>
      </w:r>
    </w:p>
    <w:p w:rsidR="00BB1B37" w:rsidRPr="00BB1B37" w:rsidRDefault="00BB1B37" w:rsidP="00BB1B37">
      <w:pPr>
        <w:rPr>
          <w:rFonts w:cs="Times New Roman"/>
          <w:szCs w:val="24"/>
        </w:rPr>
      </w:pPr>
      <w:r w:rsidRPr="00BB1B37">
        <w:rPr>
          <w:rFonts w:cs="Times New Roman"/>
          <w:szCs w:val="24"/>
        </w:rPr>
        <w:t xml:space="preserve">Call 800-949-4232 and go to </w:t>
      </w:r>
      <w:hyperlink r:id="rId9" w:history="1">
        <w:r w:rsidRPr="00BB1B37">
          <w:rPr>
            <w:rStyle w:val="Hyperlink"/>
            <w:rFonts w:cs="Times New Roman"/>
            <w:szCs w:val="24"/>
          </w:rPr>
          <w:t>www.adata.org</w:t>
        </w:r>
      </w:hyperlink>
      <w:r w:rsidRPr="00BB1B37">
        <w:rPr>
          <w:rFonts w:cs="Times New Roman"/>
          <w:szCs w:val="24"/>
        </w:rPr>
        <w:t xml:space="preserve"> to contact your Regional ADA Center.</w:t>
      </w:r>
    </w:p>
    <w:p w:rsidR="00BB1B37" w:rsidRPr="00BB1B37" w:rsidRDefault="00BB1B37" w:rsidP="00D65AB2">
      <w:pPr>
        <w:rPr>
          <w:rFonts w:cs="Times New Roman"/>
          <w:b/>
          <w:bCs/>
          <w:sz w:val="20"/>
          <w:szCs w:val="20"/>
        </w:rPr>
      </w:pPr>
    </w:p>
    <w:p w:rsidR="002C5A25" w:rsidRPr="00BB1B37" w:rsidRDefault="00D46777" w:rsidP="00D65AB2">
      <w:pPr>
        <w:rPr>
          <w:rFonts w:cs="Times New Roman"/>
          <w:szCs w:val="24"/>
        </w:rPr>
      </w:pPr>
      <w:r w:rsidRPr="00BB1B37">
        <w:rPr>
          <w:rFonts w:cs="Times New Roman"/>
          <w:b/>
          <w:bCs/>
          <w:szCs w:val="24"/>
        </w:rPr>
        <w:t xml:space="preserve">U.S. Dept. of Justice </w:t>
      </w:r>
      <w:r w:rsidRPr="00BB1B37">
        <w:rPr>
          <w:rFonts w:cs="Times New Roman"/>
          <w:bCs/>
          <w:szCs w:val="24"/>
        </w:rPr>
        <w:t>has</w:t>
      </w:r>
      <w:r w:rsidRPr="00BB1B37">
        <w:rPr>
          <w:rFonts w:cs="Times New Roman"/>
          <w:b/>
          <w:bCs/>
          <w:szCs w:val="24"/>
        </w:rPr>
        <w:t xml:space="preserve"> </w:t>
      </w:r>
      <w:r w:rsidR="003B4C76" w:rsidRPr="00BB1B37">
        <w:rPr>
          <w:rFonts w:cs="Times New Roman"/>
          <w:szCs w:val="24"/>
        </w:rPr>
        <w:t>a variety of helpful</w:t>
      </w:r>
      <w:r w:rsidR="002C5A25" w:rsidRPr="00BB1B37">
        <w:rPr>
          <w:rFonts w:cs="Times New Roman"/>
          <w:szCs w:val="24"/>
        </w:rPr>
        <w:t xml:space="preserve"> </w:t>
      </w:r>
      <w:r w:rsidR="003B4C76" w:rsidRPr="00BB1B37">
        <w:rPr>
          <w:rFonts w:cs="Times New Roman"/>
          <w:szCs w:val="24"/>
        </w:rPr>
        <w:t>publications</w:t>
      </w:r>
      <w:r w:rsidR="002C5A25" w:rsidRPr="00BB1B37">
        <w:rPr>
          <w:rFonts w:cs="Times New Roman"/>
          <w:szCs w:val="24"/>
        </w:rPr>
        <w:t xml:space="preserve"> regarding t</w:t>
      </w:r>
      <w:r w:rsidR="002C5A25" w:rsidRPr="00BB1B37">
        <w:rPr>
          <w:rFonts w:cs="Times New Roman"/>
          <w:color w:val="000000"/>
          <w:szCs w:val="24"/>
        </w:rPr>
        <w:t>he requirements of the 2010 ADA regulations</w:t>
      </w:r>
      <w:r w:rsidR="003B4C76" w:rsidRPr="00BB1B37">
        <w:rPr>
          <w:rFonts w:cs="Times New Roman"/>
          <w:szCs w:val="24"/>
        </w:rPr>
        <w:t xml:space="preserve"> at </w:t>
      </w:r>
      <w:hyperlink r:id="rId10" w:history="1">
        <w:r w:rsidR="003B4C76" w:rsidRPr="00BB1B37">
          <w:rPr>
            <w:rStyle w:val="Hyperlink"/>
            <w:rFonts w:cs="Times New Roman"/>
            <w:szCs w:val="24"/>
          </w:rPr>
          <w:t>www.ada.gov</w:t>
        </w:r>
      </w:hyperlink>
    </w:p>
    <w:p w:rsidR="00BB1B37" w:rsidRPr="00BB1B37" w:rsidRDefault="00BB1B37" w:rsidP="00D65AB2">
      <w:pPr>
        <w:rPr>
          <w:rFonts w:cs="Times New Roman"/>
          <w:sz w:val="20"/>
          <w:szCs w:val="20"/>
        </w:rPr>
      </w:pPr>
    </w:p>
    <w:p w:rsidR="00D65AB2" w:rsidRPr="00BB1B37" w:rsidRDefault="00D46777" w:rsidP="00D65AB2">
      <w:pPr>
        <w:rPr>
          <w:rFonts w:cs="Times New Roman"/>
          <w:b/>
          <w:bCs/>
          <w:szCs w:val="24"/>
        </w:rPr>
      </w:pPr>
      <w:r w:rsidRPr="00BB1B37">
        <w:rPr>
          <w:rFonts w:cs="Times New Roman"/>
          <w:szCs w:val="24"/>
        </w:rPr>
        <w:t>For example:</w:t>
      </w:r>
    </w:p>
    <w:p w:rsidR="00D65AB2" w:rsidRP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color w:val="000000"/>
        </w:rPr>
      </w:pPr>
      <w:hyperlink r:id="rId11" w:history="1">
        <w:r w:rsidR="00D65AB2" w:rsidRPr="00BB1B37">
          <w:rPr>
            <w:rStyle w:val="Strong"/>
          </w:rPr>
          <w:t>ADA Update: A Primer for Small Business</w:t>
        </w:r>
      </w:hyperlink>
    </w:p>
    <w:p w:rsidR="00D65AB2" w:rsidRPr="00BB1B37" w:rsidRDefault="00007C54" w:rsidP="00D65AB2">
      <w:pPr>
        <w:rPr>
          <w:rFonts w:cs="Times New Roman"/>
          <w:szCs w:val="24"/>
        </w:rPr>
      </w:pPr>
      <w:hyperlink r:id="rId12" w:history="1">
        <w:r w:rsidR="00D65AB2" w:rsidRPr="00BB1B37">
          <w:rPr>
            <w:rStyle w:val="Hyperlink"/>
            <w:rFonts w:cs="Times New Roman"/>
            <w:szCs w:val="24"/>
          </w:rPr>
          <w:t>http://www.ada.gov/regs2010/smallbusiness/smallbusprimer2010.htm</w:t>
        </w:r>
      </w:hyperlink>
    </w:p>
    <w:p w:rsidR="00D65AB2" w:rsidRPr="00BB1B37" w:rsidRDefault="00D65AB2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color w:val="000000"/>
          <w:sz w:val="20"/>
          <w:szCs w:val="20"/>
        </w:rPr>
      </w:pPr>
    </w:p>
    <w:p w:rsid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rStyle w:val="Strong"/>
        </w:rPr>
      </w:pPr>
      <w:hyperlink r:id="rId13" w:history="1">
        <w:r w:rsidR="00D65AB2" w:rsidRPr="00BB1B37">
          <w:rPr>
            <w:rStyle w:val="Strong"/>
          </w:rPr>
          <w:t>Revised ADA Requirements: Accessible Pools - Means of Entry and Exit</w:t>
        </w:r>
      </w:hyperlink>
    </w:p>
    <w:p w:rsidR="00D65AB2" w:rsidRP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color w:val="000000"/>
        </w:rPr>
      </w:pPr>
      <w:hyperlink r:id="rId14" w:history="1">
        <w:r w:rsidR="002C5A25" w:rsidRPr="00BB1B37">
          <w:rPr>
            <w:rStyle w:val="Hyperlink"/>
          </w:rPr>
          <w:t>http://www.ada.gov/pools_2010.htm</w:t>
        </w:r>
      </w:hyperlink>
    </w:p>
    <w:p w:rsidR="002C5A25" w:rsidRPr="00BB1B37" w:rsidRDefault="002C5A25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sz w:val="20"/>
          <w:szCs w:val="20"/>
        </w:rPr>
      </w:pPr>
    </w:p>
    <w:p w:rsidR="00D65AB2" w:rsidRP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</w:pPr>
      <w:hyperlink r:id="rId15" w:history="1">
        <w:r w:rsidR="00D65AB2" w:rsidRPr="00BB1B37">
          <w:rPr>
            <w:rStyle w:val="Strong"/>
          </w:rPr>
          <w:t>Questions and Answers: Accessibility Requirements for Existing Swimming Pools at Hotels and Other Public Accommodations</w:t>
        </w:r>
        <w:r w:rsidR="00D65AB2" w:rsidRPr="00BB1B37">
          <w:rPr>
            <w:rStyle w:val="apple-converted-space"/>
            <w:b/>
            <w:bCs/>
          </w:rPr>
          <w:t> </w:t>
        </w:r>
      </w:hyperlink>
    </w:p>
    <w:p w:rsidR="002C5A25" w:rsidRP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</w:pPr>
      <w:hyperlink r:id="rId16" w:history="1">
        <w:r w:rsidR="002C5A25" w:rsidRPr="00BB1B37">
          <w:rPr>
            <w:rStyle w:val="Hyperlink"/>
          </w:rPr>
          <w:t>http://www.ada.gov/qa_existingpools_titleIII.htm</w:t>
        </w:r>
      </w:hyperlink>
    </w:p>
    <w:p w:rsidR="00D65AB2" w:rsidRPr="00BB1B37" w:rsidRDefault="00D65AB2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color w:val="000000"/>
          <w:sz w:val="20"/>
          <w:szCs w:val="20"/>
        </w:rPr>
      </w:pPr>
    </w:p>
    <w:p w:rsid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rStyle w:val="apple-converted-space"/>
          <w:b/>
          <w:bCs/>
        </w:rPr>
      </w:pPr>
      <w:hyperlink r:id="rId17" w:history="1">
        <w:r w:rsidR="00D65AB2" w:rsidRPr="00BB1B37">
          <w:rPr>
            <w:rStyle w:val="Strong"/>
          </w:rPr>
          <w:t>Revised ADA Requirements: Service Animals</w:t>
        </w:r>
      </w:hyperlink>
    </w:p>
    <w:p w:rsidR="00D65AB2" w:rsidRP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</w:pPr>
      <w:hyperlink r:id="rId18" w:history="1">
        <w:r w:rsidR="002C5A25" w:rsidRPr="00BB1B37">
          <w:rPr>
            <w:rStyle w:val="Hyperlink"/>
          </w:rPr>
          <w:t>http://www.ada.gov/service_animals_2010.htm</w:t>
        </w:r>
      </w:hyperlink>
    </w:p>
    <w:p w:rsidR="002C5A25" w:rsidRPr="00BB1B37" w:rsidRDefault="002C5A25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color w:val="000000"/>
          <w:sz w:val="20"/>
          <w:szCs w:val="20"/>
        </w:rPr>
      </w:pPr>
    </w:p>
    <w:p w:rsid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rStyle w:val="Strong"/>
        </w:rPr>
      </w:pPr>
      <w:hyperlink r:id="rId19" w:history="1">
        <w:r w:rsidR="00D65AB2" w:rsidRPr="00BB1B37">
          <w:rPr>
            <w:rStyle w:val="Strong"/>
          </w:rPr>
          <w:t>Revised ADA Requirements: Ticket Sales</w:t>
        </w:r>
      </w:hyperlink>
    </w:p>
    <w:p w:rsidR="00D65AB2" w:rsidRP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</w:pPr>
      <w:hyperlink r:id="rId20" w:history="1">
        <w:r w:rsidR="002C5A25" w:rsidRPr="00BB1B37">
          <w:rPr>
            <w:rStyle w:val="Hyperlink"/>
          </w:rPr>
          <w:t>http://www.ada.gov/service_animals_2010.htm</w:t>
        </w:r>
      </w:hyperlink>
    </w:p>
    <w:p w:rsidR="002C5A25" w:rsidRPr="00BB1B37" w:rsidRDefault="002C5A25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color w:val="000000"/>
          <w:sz w:val="20"/>
          <w:szCs w:val="20"/>
        </w:rPr>
      </w:pPr>
    </w:p>
    <w:p w:rsid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rStyle w:val="Strong"/>
        </w:rPr>
      </w:pPr>
      <w:hyperlink r:id="rId21" w:history="1">
        <w:r w:rsidR="00D65AB2" w:rsidRPr="00BB1B37">
          <w:rPr>
            <w:rStyle w:val="Strong"/>
          </w:rPr>
          <w:t>Revised ADA Requirements: Effective Date and Compliance Date</w:t>
        </w:r>
      </w:hyperlink>
    </w:p>
    <w:p w:rsidR="00D65AB2" w:rsidRPr="00BB1B37" w:rsidRDefault="00007C54" w:rsidP="00D65AB2">
      <w:pPr>
        <w:pStyle w:val="NormalWeb"/>
        <w:shd w:val="clear" w:color="auto" w:fill="FFFFFF"/>
        <w:spacing w:before="0" w:beforeAutospacing="0" w:after="0" w:afterAutospacing="0"/>
        <w:ind w:right="240"/>
        <w:rPr>
          <w:color w:val="000000"/>
        </w:rPr>
      </w:pPr>
      <w:hyperlink r:id="rId22" w:history="1">
        <w:r w:rsidR="002C5A25" w:rsidRPr="00BB1B37">
          <w:rPr>
            <w:rStyle w:val="Hyperlink"/>
          </w:rPr>
          <w:t>http://www.ada.gov/revised_effective_dates-2010.htm</w:t>
        </w:r>
      </w:hyperlink>
    </w:p>
    <w:p w:rsidR="00CC7D83" w:rsidRPr="00BB1B37" w:rsidRDefault="00CC7D83" w:rsidP="00D65AB2">
      <w:pPr>
        <w:rPr>
          <w:rFonts w:cs="Times New Roman"/>
          <w:b/>
          <w:bCs/>
          <w:sz w:val="20"/>
          <w:szCs w:val="20"/>
        </w:rPr>
      </w:pPr>
    </w:p>
    <w:p w:rsidR="00036CA7" w:rsidRPr="00BB1B37" w:rsidRDefault="0084175D" w:rsidP="00D65AB2">
      <w:pPr>
        <w:rPr>
          <w:rFonts w:cs="Times New Roman"/>
          <w:szCs w:val="24"/>
        </w:rPr>
      </w:pPr>
      <w:r w:rsidRPr="00BB1B37">
        <w:rPr>
          <w:rFonts w:cs="Times New Roman"/>
          <w:b/>
          <w:bCs/>
          <w:szCs w:val="24"/>
        </w:rPr>
        <w:t>Revised ADA Regulations Implementing Title II and Title III</w:t>
      </w:r>
    </w:p>
    <w:p w:rsidR="00036CA7" w:rsidRPr="00BB1B37" w:rsidRDefault="00007C54" w:rsidP="00D65AB2">
      <w:pPr>
        <w:rPr>
          <w:rFonts w:cs="Times New Roman"/>
          <w:szCs w:val="24"/>
        </w:rPr>
      </w:pPr>
      <w:hyperlink r:id="rId23" w:history="1">
        <w:r w:rsidR="0084175D" w:rsidRPr="00BB1B37">
          <w:rPr>
            <w:rStyle w:val="Hyperlink"/>
            <w:rFonts w:cs="Times New Roman"/>
            <w:szCs w:val="24"/>
          </w:rPr>
          <w:t>http://www.ada.gov/regs2010/ADAregs2010.htm</w:t>
        </w:r>
      </w:hyperlink>
    </w:p>
    <w:p w:rsidR="00CC7D83" w:rsidRPr="00BB1B37" w:rsidRDefault="00CC7D83" w:rsidP="00D65AB2">
      <w:pPr>
        <w:rPr>
          <w:rFonts w:cs="Times New Roman"/>
          <w:b/>
          <w:bCs/>
          <w:sz w:val="20"/>
          <w:szCs w:val="20"/>
        </w:rPr>
      </w:pPr>
    </w:p>
    <w:p w:rsidR="00036CA7" w:rsidRPr="00BB1B37" w:rsidRDefault="0084175D" w:rsidP="00D65AB2">
      <w:pPr>
        <w:rPr>
          <w:rFonts w:cs="Times New Roman"/>
          <w:szCs w:val="24"/>
        </w:rPr>
      </w:pPr>
      <w:r w:rsidRPr="00BB1B37">
        <w:rPr>
          <w:rFonts w:cs="Times New Roman"/>
          <w:b/>
          <w:bCs/>
          <w:szCs w:val="24"/>
        </w:rPr>
        <w:t xml:space="preserve">2010 ADA Standards </w:t>
      </w:r>
      <w:r w:rsidR="00B008B3" w:rsidRPr="00BB1B37">
        <w:rPr>
          <w:rFonts w:cs="Times New Roman"/>
          <w:b/>
          <w:bCs/>
          <w:szCs w:val="24"/>
        </w:rPr>
        <w:t>f</w:t>
      </w:r>
      <w:r w:rsidRPr="00BB1B37">
        <w:rPr>
          <w:rFonts w:cs="Times New Roman"/>
          <w:b/>
          <w:bCs/>
          <w:szCs w:val="24"/>
        </w:rPr>
        <w:t>or Accessible Design</w:t>
      </w:r>
    </w:p>
    <w:p w:rsidR="00036CA7" w:rsidRPr="00BB1B37" w:rsidRDefault="00007C54" w:rsidP="00D65AB2">
      <w:pPr>
        <w:rPr>
          <w:rFonts w:cs="Times New Roman"/>
          <w:szCs w:val="24"/>
        </w:rPr>
      </w:pPr>
      <w:hyperlink r:id="rId24" w:history="1">
        <w:r w:rsidR="0084175D" w:rsidRPr="00BB1B37">
          <w:rPr>
            <w:rStyle w:val="Hyperlink"/>
            <w:rFonts w:cs="Times New Roman"/>
            <w:szCs w:val="24"/>
          </w:rPr>
          <w:t>http://www.ada.gov/2010ADAstandards_index.htm</w:t>
        </w:r>
      </w:hyperlink>
    </w:p>
    <w:p w:rsidR="00AD04C7" w:rsidRPr="00BB1B37" w:rsidRDefault="00AD04C7" w:rsidP="00D65AB2">
      <w:pPr>
        <w:rPr>
          <w:rFonts w:cs="Times New Roman"/>
          <w:sz w:val="20"/>
          <w:szCs w:val="20"/>
        </w:rPr>
      </w:pPr>
    </w:p>
    <w:p w:rsidR="00036CA7" w:rsidRPr="00BB1B37" w:rsidRDefault="0084175D" w:rsidP="00D65AB2">
      <w:pPr>
        <w:rPr>
          <w:rFonts w:cs="Times New Roman"/>
          <w:szCs w:val="24"/>
        </w:rPr>
      </w:pPr>
      <w:r w:rsidRPr="00BB1B37">
        <w:rPr>
          <w:rFonts w:cs="Times New Roman"/>
          <w:b/>
          <w:bCs/>
          <w:szCs w:val="24"/>
        </w:rPr>
        <w:t xml:space="preserve">U.S. Access Board </w:t>
      </w:r>
    </w:p>
    <w:p w:rsidR="003B4C76" w:rsidRPr="00BB1B37" w:rsidRDefault="003B4C76" w:rsidP="00D65AB2">
      <w:pPr>
        <w:rPr>
          <w:rFonts w:cs="Times New Roman"/>
          <w:szCs w:val="24"/>
        </w:rPr>
      </w:pPr>
      <w:r w:rsidRPr="00BB1B37">
        <w:rPr>
          <w:rFonts w:cs="Times New Roman"/>
          <w:szCs w:val="24"/>
        </w:rPr>
        <w:t>(800) 872-2253 (voice)</w:t>
      </w:r>
      <w:r w:rsidR="00CB7C58" w:rsidRPr="00BB1B37">
        <w:rPr>
          <w:rFonts w:cs="Times New Roman"/>
          <w:szCs w:val="24"/>
        </w:rPr>
        <w:t xml:space="preserve">   /   </w:t>
      </w:r>
      <w:r w:rsidRPr="00BB1B37">
        <w:rPr>
          <w:rFonts w:cs="Times New Roman"/>
          <w:szCs w:val="24"/>
        </w:rPr>
        <w:t>(800) 993-2822 (TTY)</w:t>
      </w:r>
      <w:r w:rsidR="00644BFA">
        <w:rPr>
          <w:rFonts w:cs="Times New Roman"/>
          <w:szCs w:val="24"/>
        </w:rPr>
        <w:t xml:space="preserve">   /   </w:t>
      </w:r>
      <w:bookmarkStart w:id="0" w:name="_GoBack"/>
      <w:bookmarkEnd w:id="0"/>
      <w:r w:rsidR="00007C54" w:rsidRPr="00BB1B37">
        <w:rPr>
          <w:rFonts w:cs="Times New Roman"/>
          <w:szCs w:val="24"/>
        </w:rPr>
        <w:fldChar w:fldCharType="begin"/>
      </w:r>
      <w:r w:rsidR="00007C54" w:rsidRPr="00BB1B37">
        <w:rPr>
          <w:rFonts w:cs="Times New Roman"/>
          <w:szCs w:val="24"/>
        </w:rPr>
        <w:instrText xml:space="preserve"> HYPERLINK "http://www.access-board.gov/" </w:instrText>
      </w:r>
      <w:r w:rsidR="00007C54" w:rsidRPr="00BB1B37">
        <w:rPr>
          <w:rFonts w:cs="Times New Roman"/>
          <w:szCs w:val="24"/>
        </w:rPr>
        <w:fldChar w:fldCharType="separate"/>
      </w:r>
      <w:r w:rsidRPr="00BB1B37">
        <w:rPr>
          <w:rStyle w:val="Hyperlink"/>
          <w:rFonts w:cs="Times New Roman"/>
          <w:szCs w:val="24"/>
        </w:rPr>
        <w:t>www.access-board.gov</w:t>
      </w:r>
      <w:r w:rsidR="00007C54" w:rsidRPr="00BB1B37">
        <w:rPr>
          <w:rStyle w:val="Hyperlink"/>
          <w:rFonts w:cs="Times New Roman"/>
          <w:szCs w:val="24"/>
        </w:rPr>
        <w:fldChar w:fldCharType="end"/>
      </w:r>
    </w:p>
    <w:sectPr w:rsidR="003B4C76" w:rsidRPr="00BB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54" w:rsidRDefault="00007C54" w:rsidP="00CB7C58">
      <w:r>
        <w:separator/>
      </w:r>
    </w:p>
  </w:endnote>
  <w:endnote w:type="continuationSeparator" w:id="0">
    <w:p w:rsidR="00007C54" w:rsidRDefault="00007C54" w:rsidP="00CB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54" w:rsidRDefault="00007C54" w:rsidP="00CB7C58">
      <w:r>
        <w:separator/>
      </w:r>
    </w:p>
  </w:footnote>
  <w:footnote w:type="continuationSeparator" w:id="0">
    <w:p w:rsidR="00007C54" w:rsidRDefault="00007C54" w:rsidP="00CB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3F"/>
    <w:multiLevelType w:val="hybridMultilevel"/>
    <w:tmpl w:val="AE36D88A"/>
    <w:lvl w:ilvl="0" w:tplc="CB62E6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60F5A">
      <w:start w:val="81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202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4F41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406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479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86C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476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0A3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A0C00"/>
    <w:multiLevelType w:val="hybridMultilevel"/>
    <w:tmpl w:val="213089EC"/>
    <w:lvl w:ilvl="0" w:tplc="E8DE36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8B7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CFA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EC8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250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060A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C1E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ABB9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74CAF"/>
    <w:multiLevelType w:val="hybridMultilevel"/>
    <w:tmpl w:val="349EFAE0"/>
    <w:lvl w:ilvl="0" w:tplc="284072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85F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04B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8A64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8CE9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848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DA5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ADE7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A1BE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974BA"/>
    <w:multiLevelType w:val="hybridMultilevel"/>
    <w:tmpl w:val="C2664972"/>
    <w:lvl w:ilvl="0" w:tplc="E8DE36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86348">
      <w:start w:val="5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8B7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CFA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EC8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250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060A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C1E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ABB9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B5D1E"/>
    <w:multiLevelType w:val="hybridMultilevel"/>
    <w:tmpl w:val="4476F3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86348">
      <w:start w:val="5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8B7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CFA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EC8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250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060A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C1E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ABB9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626A3"/>
    <w:multiLevelType w:val="hybridMultilevel"/>
    <w:tmpl w:val="C5A2755A"/>
    <w:lvl w:ilvl="0" w:tplc="96ACA7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6EB3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E5D7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CA2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2AB2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E271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682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A06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AD4F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76"/>
    <w:rsid w:val="00007C54"/>
    <w:rsid w:val="00036CA7"/>
    <w:rsid w:val="00076B94"/>
    <w:rsid w:val="0012055F"/>
    <w:rsid w:val="0013443C"/>
    <w:rsid w:val="00251BB2"/>
    <w:rsid w:val="002C5A25"/>
    <w:rsid w:val="003A7201"/>
    <w:rsid w:val="003B4C76"/>
    <w:rsid w:val="005111E6"/>
    <w:rsid w:val="00603AFE"/>
    <w:rsid w:val="00644BFA"/>
    <w:rsid w:val="007328C8"/>
    <w:rsid w:val="0084175D"/>
    <w:rsid w:val="009155C9"/>
    <w:rsid w:val="009162E6"/>
    <w:rsid w:val="00927A3C"/>
    <w:rsid w:val="00A21C2A"/>
    <w:rsid w:val="00AD04C7"/>
    <w:rsid w:val="00B008B3"/>
    <w:rsid w:val="00B50FB7"/>
    <w:rsid w:val="00BB1B37"/>
    <w:rsid w:val="00C14A5C"/>
    <w:rsid w:val="00CB7C58"/>
    <w:rsid w:val="00CC7D83"/>
    <w:rsid w:val="00D46777"/>
    <w:rsid w:val="00D65AB2"/>
    <w:rsid w:val="00D7518B"/>
    <w:rsid w:val="00E42F7A"/>
    <w:rsid w:val="00E576A3"/>
    <w:rsid w:val="00ED3360"/>
    <w:rsid w:val="00ED4252"/>
    <w:rsid w:val="00F54F3F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AB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C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AB2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5AB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5AB2"/>
    <w:rPr>
      <w:b/>
      <w:bCs/>
    </w:rPr>
  </w:style>
  <w:style w:type="character" w:customStyle="1" w:styleId="apple-converted-space">
    <w:name w:val="apple-converted-space"/>
    <w:basedOn w:val="DefaultParagraphFont"/>
    <w:rsid w:val="00D65AB2"/>
  </w:style>
  <w:style w:type="paragraph" w:styleId="Header">
    <w:name w:val="header"/>
    <w:basedOn w:val="Normal"/>
    <w:link w:val="HeaderChar"/>
    <w:uiPriority w:val="99"/>
    <w:unhideWhenUsed/>
    <w:rsid w:val="00CB7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58"/>
  </w:style>
  <w:style w:type="paragraph" w:styleId="Footer">
    <w:name w:val="footer"/>
    <w:basedOn w:val="Normal"/>
    <w:link w:val="FooterChar"/>
    <w:uiPriority w:val="99"/>
    <w:unhideWhenUsed/>
    <w:rsid w:val="00CB7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58"/>
  </w:style>
  <w:style w:type="paragraph" w:styleId="BalloonText">
    <w:name w:val="Balloon Text"/>
    <w:basedOn w:val="Normal"/>
    <w:link w:val="BalloonTextChar"/>
    <w:uiPriority w:val="99"/>
    <w:semiHidden/>
    <w:unhideWhenUsed/>
    <w:rsid w:val="00CB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28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AB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C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AB2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5AB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5AB2"/>
    <w:rPr>
      <w:b/>
      <w:bCs/>
    </w:rPr>
  </w:style>
  <w:style w:type="character" w:customStyle="1" w:styleId="apple-converted-space">
    <w:name w:val="apple-converted-space"/>
    <w:basedOn w:val="DefaultParagraphFont"/>
    <w:rsid w:val="00D65AB2"/>
  </w:style>
  <w:style w:type="paragraph" w:styleId="Header">
    <w:name w:val="header"/>
    <w:basedOn w:val="Normal"/>
    <w:link w:val="HeaderChar"/>
    <w:uiPriority w:val="99"/>
    <w:unhideWhenUsed/>
    <w:rsid w:val="00CB7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58"/>
  </w:style>
  <w:style w:type="paragraph" w:styleId="Footer">
    <w:name w:val="footer"/>
    <w:basedOn w:val="Normal"/>
    <w:link w:val="FooterChar"/>
    <w:uiPriority w:val="99"/>
    <w:unhideWhenUsed/>
    <w:rsid w:val="00CB7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58"/>
  </w:style>
  <w:style w:type="paragraph" w:styleId="BalloonText">
    <w:name w:val="Balloon Text"/>
    <w:basedOn w:val="Normal"/>
    <w:link w:val="BalloonTextChar"/>
    <w:uiPriority w:val="99"/>
    <w:semiHidden/>
    <w:unhideWhenUsed/>
    <w:rsid w:val="00CB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2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38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9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7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630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370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53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85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725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80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435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671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399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58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39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68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53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6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32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3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5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49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1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38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671">
          <w:marLeft w:val="14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b4@flash.net" TargetMode="External"/><Relationship Id="rId13" Type="http://schemas.openxmlformats.org/officeDocument/2006/relationships/hyperlink" Target="http://www.ada.gov/pools_2010.htm" TargetMode="External"/><Relationship Id="rId18" Type="http://schemas.openxmlformats.org/officeDocument/2006/relationships/hyperlink" Target="http://www.ada.gov/service_animals_2010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da.gov/revised_effective_dates-201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a.gov/regs2010/smallbusiness/smallbusprimer2010.htm" TargetMode="External"/><Relationship Id="rId17" Type="http://schemas.openxmlformats.org/officeDocument/2006/relationships/hyperlink" Target="http://www.ada.gov/service_animals_2010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a.gov/qa_existingpools_titleIII.htm" TargetMode="External"/><Relationship Id="rId20" Type="http://schemas.openxmlformats.org/officeDocument/2006/relationships/hyperlink" Target="http://www.ada.gov/service_animals_2010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a.gov/regs2010/smallbusiness/smallbusprimer2010.htm" TargetMode="External"/><Relationship Id="rId24" Type="http://schemas.openxmlformats.org/officeDocument/2006/relationships/hyperlink" Target="http://www.ada.gov/2010ADAstandards_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qa_existingpools_titleIII.htm" TargetMode="External"/><Relationship Id="rId23" Type="http://schemas.openxmlformats.org/officeDocument/2006/relationships/hyperlink" Target="http://www.ada.gov/regs2010/ADAregs2010.htm" TargetMode="External"/><Relationship Id="rId10" Type="http://schemas.openxmlformats.org/officeDocument/2006/relationships/hyperlink" Target="http://www.ada.gov/" TargetMode="External"/><Relationship Id="rId19" Type="http://schemas.openxmlformats.org/officeDocument/2006/relationships/hyperlink" Target="http://www.ada.gov/ticketing_201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ta.org" TargetMode="External"/><Relationship Id="rId14" Type="http://schemas.openxmlformats.org/officeDocument/2006/relationships/hyperlink" Target="http://www.ada.gov/pools_2010.htm" TargetMode="External"/><Relationship Id="rId22" Type="http://schemas.openxmlformats.org/officeDocument/2006/relationships/hyperlink" Target="http://www.ada.gov/revised_effective_dates-20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2014-09-19T00:31:00Z</dcterms:created>
  <dcterms:modified xsi:type="dcterms:W3CDTF">2014-09-19T00:31:00Z</dcterms:modified>
</cp:coreProperties>
</file>