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75" w:rsidRDefault="00EB025E" w:rsidP="00C204C3">
      <w:pPr>
        <w:jc w:val="center"/>
        <w:rPr>
          <w:b/>
          <w:sz w:val="32"/>
          <w:szCs w:val="32"/>
        </w:rPr>
      </w:pPr>
      <w:bookmarkStart w:id="0" w:name="_GoBack"/>
      <w:bookmarkEnd w:id="0"/>
      <w:r w:rsidRPr="006B1E75">
        <w:rPr>
          <w:rStyle w:val="TitleChar"/>
        </w:rPr>
        <w:t>IL Conversation</w:t>
      </w:r>
    </w:p>
    <w:p w:rsidR="006B1E75" w:rsidRDefault="00EB025E" w:rsidP="006B1E75">
      <w:pPr>
        <w:jc w:val="center"/>
      </w:pPr>
      <w:r w:rsidRPr="00C204C3">
        <w:t>August 6, 2015</w:t>
      </w:r>
    </w:p>
    <w:p w:rsidR="00EB025E" w:rsidRDefault="00EB025E" w:rsidP="006B1E75">
      <w:pPr>
        <w:pStyle w:val="Heading1"/>
      </w:pPr>
      <w:r w:rsidRPr="00B7028C">
        <w:t>What is a Psychiatric Disability?</w:t>
      </w:r>
    </w:p>
    <w:p w:rsidR="006B1E75" w:rsidRPr="006B1E75" w:rsidRDefault="006B1E75" w:rsidP="003C469C">
      <w:r>
        <w:t>By "disability</w:t>
      </w:r>
      <w:r w:rsidR="003C469C">
        <w:t>," we mean "</w:t>
      </w:r>
      <w:r w:rsidR="003C469C" w:rsidRPr="003C469C">
        <w:t>a physical or mental impairment that</w:t>
      </w:r>
      <w:r w:rsidR="003C469C">
        <w:t xml:space="preserve"> </w:t>
      </w:r>
      <w:r w:rsidR="003C469C" w:rsidRPr="003C469C">
        <w:t>substantially limits one or more major life</w:t>
      </w:r>
      <w:r w:rsidR="003C469C">
        <w:t xml:space="preserve"> </w:t>
      </w:r>
      <w:r w:rsidR="003C469C" w:rsidRPr="003C469C">
        <w:t>activities of such individual</w:t>
      </w:r>
      <w:r w:rsidR="003C469C">
        <w:t>…." ADA Sec. 3.  However, psychiatric disability is harder to define.  Some attempts are set out below.</w:t>
      </w:r>
    </w:p>
    <w:p w:rsidR="00B7028C" w:rsidRPr="00B7028C" w:rsidRDefault="00BA7259" w:rsidP="00235DF6">
      <w:pPr>
        <w:pStyle w:val="Heading2"/>
        <w:rPr>
          <w:rFonts w:ascii="Verdana" w:eastAsia="Times New Roman" w:hAnsi="Verdana" w:cs="Arial"/>
          <w:b/>
          <w:color w:val="777777"/>
          <w:szCs w:val="28"/>
        </w:rPr>
      </w:pPr>
      <w:hyperlink r:id="rId5" w:history="1">
        <w:r w:rsidR="00B7028C" w:rsidRPr="00B7028C">
          <w:rPr>
            <w:rFonts w:ascii="Verdana" w:eastAsia="Times New Roman" w:hAnsi="Verdana" w:cs="Arial"/>
            <w:b/>
            <w:color w:val="660099"/>
            <w:szCs w:val="28"/>
          </w:rPr>
          <w:t>Psychiatric Disabilities - Johns Hopkins University</w:t>
        </w:r>
      </w:hyperlink>
    </w:p>
    <w:p w:rsidR="00EB025E" w:rsidRPr="00EB025E" w:rsidRDefault="00EB025E" w:rsidP="00235DF6">
      <w:pPr>
        <w:shd w:val="clear" w:color="auto" w:fill="FFFFFF"/>
        <w:spacing w:after="0"/>
        <w:rPr>
          <w:rFonts w:eastAsia="Times New Roman" w:cs="Arial"/>
          <w:color w:val="777777"/>
          <w:sz w:val="21"/>
          <w:szCs w:val="21"/>
        </w:rPr>
      </w:pPr>
      <w:r w:rsidRPr="004437D6">
        <w:rPr>
          <w:rFonts w:eastAsia="Times New Roman" w:cs="Arial"/>
          <w:b/>
          <w:bCs/>
          <w:color w:val="777777"/>
          <w:szCs w:val="24"/>
        </w:rPr>
        <w:t>Psychiatric disabilities</w:t>
      </w:r>
      <w:r w:rsidRPr="004437D6">
        <w:rPr>
          <w:rFonts w:eastAsia="Times New Roman" w:cs="Arial"/>
          <w:color w:val="777777"/>
          <w:szCs w:val="24"/>
        </w:rPr>
        <w:t> refer to a wide range of behavioral and/or</w:t>
      </w:r>
      <w:r w:rsidR="007F410A">
        <w:rPr>
          <w:rFonts w:eastAsia="Times New Roman" w:cs="Arial"/>
          <w:color w:val="777777"/>
          <w:szCs w:val="24"/>
        </w:rPr>
        <w:t xml:space="preserve"> </w:t>
      </w:r>
      <w:r w:rsidRPr="004437D6">
        <w:rPr>
          <w:rFonts w:eastAsia="Times New Roman" w:cs="Arial"/>
          <w:b/>
          <w:bCs/>
          <w:color w:val="777777"/>
          <w:szCs w:val="24"/>
        </w:rPr>
        <w:t>psychological</w:t>
      </w:r>
      <w:r w:rsidRPr="004437D6">
        <w:rPr>
          <w:rFonts w:eastAsia="Times New Roman" w:cs="Arial"/>
          <w:color w:val="777777"/>
          <w:szCs w:val="24"/>
        </w:rPr>
        <w:t> problems characterized by anxiety, mood swings, depression, and/or a compromised assessment of reality. These behaviors persist over time; they are not in response to a particular event.</w:t>
      </w:r>
    </w:p>
    <w:p w:rsidR="00EB025E" w:rsidRPr="00EB025E" w:rsidRDefault="00EB025E" w:rsidP="00235DF6">
      <w:pPr>
        <w:shd w:val="clear" w:color="auto" w:fill="FFFFFF"/>
        <w:spacing w:after="0"/>
        <w:outlineLvl w:val="2"/>
        <w:rPr>
          <w:rFonts w:eastAsia="Times New Roman" w:cs="Arial"/>
          <w:color w:val="777777"/>
          <w:sz w:val="27"/>
          <w:szCs w:val="27"/>
        </w:rPr>
      </w:pPr>
      <w:r w:rsidRPr="004437D6">
        <w:rPr>
          <w:rFonts w:eastAsia="Times New Roman" w:cs="Arial"/>
          <w:color w:val="006621"/>
          <w:sz w:val="21"/>
        </w:rPr>
        <w:t>web.jhu.edu/</w:t>
      </w:r>
      <w:r w:rsidRPr="004437D6">
        <w:rPr>
          <w:rFonts w:eastAsia="Times New Roman" w:cs="Arial"/>
          <w:b/>
          <w:bCs/>
          <w:color w:val="006621"/>
          <w:sz w:val="21"/>
        </w:rPr>
        <w:t>disabilities</w:t>
      </w:r>
      <w:r w:rsidRPr="004437D6">
        <w:rPr>
          <w:rFonts w:eastAsia="Times New Roman" w:cs="Arial"/>
          <w:color w:val="006621"/>
          <w:sz w:val="21"/>
        </w:rPr>
        <w:t>/...</w:t>
      </w:r>
      <w:r w:rsidRPr="004437D6">
        <w:rPr>
          <w:rFonts w:eastAsia="Times New Roman" w:cs="Arial"/>
          <w:b/>
          <w:bCs/>
          <w:color w:val="006621"/>
          <w:sz w:val="21"/>
        </w:rPr>
        <w:t>disabilities</w:t>
      </w:r>
      <w:r w:rsidRPr="004437D6">
        <w:rPr>
          <w:rFonts w:eastAsia="Times New Roman" w:cs="Arial"/>
          <w:color w:val="006621"/>
          <w:sz w:val="21"/>
        </w:rPr>
        <w:t>/</w:t>
      </w:r>
      <w:proofErr w:type="spellStart"/>
      <w:r w:rsidRPr="004437D6">
        <w:rPr>
          <w:rFonts w:eastAsia="Times New Roman" w:cs="Arial"/>
          <w:b/>
          <w:bCs/>
          <w:color w:val="006621"/>
          <w:sz w:val="21"/>
        </w:rPr>
        <w:t>psychiatric</w:t>
      </w:r>
      <w:r w:rsidRPr="004437D6">
        <w:rPr>
          <w:rFonts w:eastAsia="Times New Roman" w:cs="Arial"/>
          <w:color w:val="006621"/>
          <w:sz w:val="21"/>
        </w:rPr>
        <w:t>.h</w:t>
      </w:r>
      <w:proofErr w:type="spellEnd"/>
      <w:r w:rsidRPr="004437D6">
        <w:rPr>
          <w:rFonts w:eastAsia="Times New Roman" w:cs="Arial"/>
          <w:color w:val="006621"/>
          <w:sz w:val="21"/>
        </w:rPr>
        <w:t>...</w:t>
      </w:r>
    </w:p>
    <w:p w:rsidR="00EB025E" w:rsidRPr="004437D6" w:rsidRDefault="00EB025E" w:rsidP="00EB025E">
      <w:pPr>
        <w:shd w:val="clear" w:color="auto" w:fill="FFFFFF"/>
        <w:spacing w:after="0" w:line="240" w:lineRule="atLeast"/>
        <w:rPr>
          <w:rFonts w:eastAsia="Times New Roman" w:cs="Arial"/>
          <w:color w:val="777777"/>
          <w:sz w:val="21"/>
          <w:szCs w:val="21"/>
        </w:rPr>
      </w:pPr>
      <w:r w:rsidRPr="00EB025E">
        <w:rPr>
          <w:rFonts w:eastAsia="Times New Roman" w:cs="Arial"/>
          <w:color w:val="777777"/>
          <w:sz w:val="21"/>
          <w:szCs w:val="21"/>
        </w:rPr>
        <w:t>Johns Hopkins University</w:t>
      </w:r>
    </w:p>
    <w:p w:rsidR="00B7028C" w:rsidRPr="00B7028C" w:rsidRDefault="00BA7259" w:rsidP="00235DF6">
      <w:pPr>
        <w:pStyle w:val="Heading2"/>
        <w:rPr>
          <w:rFonts w:ascii="Arial" w:eastAsia="Times New Roman" w:hAnsi="Arial" w:cs="Arial"/>
          <w:b/>
          <w:color w:val="777777"/>
          <w:szCs w:val="28"/>
        </w:rPr>
      </w:pPr>
      <w:hyperlink r:id="rId6" w:history="1">
        <w:r w:rsidR="00B7028C" w:rsidRPr="00B7028C">
          <w:rPr>
            <w:rFonts w:ascii="Arial" w:eastAsia="Times New Roman" w:hAnsi="Arial" w:cs="Arial"/>
            <w:b/>
            <w:color w:val="660099"/>
            <w:szCs w:val="28"/>
          </w:rPr>
          <w:t>Boston University Center for Psychiatric Rehabilitation</w:t>
        </w:r>
      </w:hyperlink>
    </w:p>
    <w:p w:rsidR="00EB025E" w:rsidRPr="00EB025E" w:rsidRDefault="00EB025E" w:rsidP="00EB025E">
      <w:pPr>
        <w:shd w:val="clear" w:color="auto" w:fill="FFFFFF"/>
        <w:spacing w:after="0" w:line="240" w:lineRule="atLeast"/>
        <w:rPr>
          <w:rFonts w:ascii="Arial" w:eastAsia="Times New Roman" w:hAnsi="Arial" w:cs="Arial"/>
          <w:b/>
          <w:color w:val="777777"/>
          <w:sz w:val="21"/>
          <w:szCs w:val="21"/>
        </w:rPr>
      </w:pPr>
      <w:r w:rsidRPr="00EB025E">
        <w:rPr>
          <w:rFonts w:ascii="Helvetica" w:hAnsi="Helvetica" w:cs="Helvetica"/>
          <w:b/>
          <w:color w:val="000000"/>
          <w:szCs w:val="24"/>
        </w:rPr>
        <w:t>Definition of Mental Illness and Some Common Diagnoses*</w:t>
      </w:r>
    </w:p>
    <w:p w:rsidR="00EB025E" w:rsidRPr="00EB025E" w:rsidRDefault="00EB025E" w:rsidP="00235DF6">
      <w:r w:rsidRPr="00EB025E">
        <w:t xml:space="preserve">Mental illness is a term that describes a broad range of mental and </w:t>
      </w:r>
      <w:proofErr w:type="gramStart"/>
      <w:r w:rsidRPr="00EB025E">
        <w:t>emotional</w:t>
      </w:r>
      <w:proofErr w:type="gramEnd"/>
      <w:r w:rsidRPr="00EB025E">
        <w:t xml:space="preserve"> conditions. Mental illness also refers to one portion of the broader ADA term mental impairment, and is different from other covered mental impairments such as mental retardation, organic brain damage, and learning disabilities. The term ‘psychiatric disability’ is used when mental illness significantly interferes with the performance of major life activities, such as learning, working and communicating, among others.</w:t>
      </w:r>
    </w:p>
    <w:p w:rsidR="00EB025E" w:rsidRPr="00EB025E" w:rsidRDefault="00EB025E" w:rsidP="00235DF6">
      <w:r w:rsidRPr="00EB025E">
        <w:t>Someone can experience a mental illness over many years. The type, intensity and duration of symptoms vary from person to person. They come and go and do not always follow a regular pattern, making it difficult to predict when symptoms and functioning will flare-up, even if treatment recommendations are followed. The symptoms of mental illness often are effectively controlled through medication and/or psychotherapy, and may even go into remission. For some people, the illness continues to cause periodic episodes that require treatment. Consequently, some people with mental illness will need no support, others may need only occasional support, and still others may require more substantial, ongoing support to maintain their productivity.</w:t>
      </w:r>
    </w:p>
    <w:p w:rsidR="00EB025E" w:rsidRPr="00EB025E" w:rsidRDefault="00EB025E" w:rsidP="00EB025E">
      <w:pPr>
        <w:pStyle w:val="NormalWeb"/>
        <w:shd w:val="clear" w:color="auto" w:fill="FFFFFF"/>
        <w:spacing w:before="0" w:beforeAutospacing="0" w:after="0" w:afterAutospacing="0" w:line="270" w:lineRule="atLeast"/>
        <w:textAlignment w:val="top"/>
        <w:rPr>
          <w:rFonts w:ascii="Helvetica" w:hAnsi="Helvetica" w:cs="Helvetica"/>
          <w:color w:val="000000"/>
        </w:rPr>
      </w:pPr>
      <w:r w:rsidRPr="00EB025E">
        <w:rPr>
          <w:rFonts w:ascii="Helvetica" w:hAnsi="Helvetica" w:cs="Helvetica"/>
          <w:color w:val="000000"/>
        </w:rPr>
        <w:t>The most common forms of mental illness are</w:t>
      </w:r>
      <w:r w:rsidRPr="00EB025E">
        <w:rPr>
          <w:rStyle w:val="apple-converted-space"/>
          <w:rFonts w:ascii="Helvetica" w:hAnsi="Helvetica" w:cs="Helvetica"/>
          <w:color w:val="000000"/>
        </w:rPr>
        <w:t> </w:t>
      </w:r>
      <w:hyperlink r:id="rId7" w:anchor="anxiety" w:history="1">
        <w:r w:rsidRPr="00EB025E">
          <w:rPr>
            <w:rStyle w:val="Hyperlink"/>
            <w:rFonts w:ascii="Helvetica" w:hAnsi="Helvetica" w:cs="Helvetica"/>
            <w:b/>
            <w:bCs/>
            <w:color w:val="6A87AD"/>
            <w:u w:val="none"/>
            <w:bdr w:val="none" w:sz="0" w:space="0" w:color="auto" w:frame="1"/>
          </w:rPr>
          <w:t>anxiety disorders</w:t>
        </w:r>
      </w:hyperlink>
      <w:r w:rsidRPr="00EB025E">
        <w:rPr>
          <w:rFonts w:ascii="Helvetica" w:hAnsi="Helvetica" w:cs="Helvetica"/>
          <w:color w:val="000000"/>
        </w:rPr>
        <w:t>,</w:t>
      </w:r>
      <w:r w:rsidRPr="00EB025E">
        <w:rPr>
          <w:rStyle w:val="apple-converted-space"/>
          <w:rFonts w:ascii="Helvetica" w:hAnsi="Helvetica" w:cs="Helvetica"/>
          <w:color w:val="000000"/>
        </w:rPr>
        <w:t> </w:t>
      </w:r>
      <w:hyperlink r:id="rId8" w:anchor="mood" w:history="1">
        <w:r w:rsidRPr="00EB025E">
          <w:rPr>
            <w:rStyle w:val="Hyperlink"/>
            <w:rFonts w:ascii="Helvetica" w:hAnsi="Helvetica" w:cs="Helvetica"/>
            <w:b/>
            <w:bCs/>
            <w:color w:val="6A87AD"/>
            <w:u w:val="none"/>
            <w:bdr w:val="none" w:sz="0" w:space="0" w:color="auto" w:frame="1"/>
          </w:rPr>
          <w:t>mood disorders</w:t>
        </w:r>
      </w:hyperlink>
      <w:r w:rsidRPr="00EB025E">
        <w:rPr>
          <w:rFonts w:ascii="Helvetica" w:hAnsi="Helvetica" w:cs="Helvetica"/>
          <w:color w:val="000000"/>
        </w:rPr>
        <w:t>, and</w:t>
      </w:r>
      <w:r>
        <w:rPr>
          <w:rFonts w:ascii="Helvetica" w:hAnsi="Helvetica" w:cs="Helvetica"/>
          <w:color w:val="000000"/>
        </w:rPr>
        <w:t xml:space="preserve"> </w:t>
      </w:r>
      <w:hyperlink r:id="rId9" w:anchor="schizophrenia" w:history="1">
        <w:r w:rsidRPr="00EB025E">
          <w:rPr>
            <w:rStyle w:val="Hyperlink"/>
            <w:rFonts w:ascii="Helvetica" w:hAnsi="Helvetica" w:cs="Helvetica"/>
            <w:b/>
            <w:bCs/>
            <w:color w:val="6A87AD"/>
            <w:u w:val="none"/>
            <w:bdr w:val="none" w:sz="0" w:space="0" w:color="auto" w:frame="1"/>
          </w:rPr>
          <w:t>schizophrenia disorders</w:t>
        </w:r>
      </w:hyperlink>
      <w:r w:rsidRPr="00EB025E">
        <w:rPr>
          <w:rFonts w:ascii="Helvetica" w:hAnsi="Helvetica" w:cs="Helvetica"/>
          <w:color w:val="000000"/>
        </w:rPr>
        <w:t>. Brief introductory information about these conditions is presented in this section for educational purposes only.</w:t>
      </w:r>
    </w:p>
    <w:p w:rsidR="00B7028C" w:rsidRDefault="00235DF6" w:rsidP="00235DF6">
      <w:pPr>
        <w:pStyle w:val="Heading2"/>
      </w:pPr>
      <w:r>
        <w:t>California Courts</w:t>
      </w:r>
    </w:p>
    <w:p w:rsidR="00235DF6" w:rsidRPr="00B7028C" w:rsidRDefault="00235DF6" w:rsidP="00235DF6">
      <w:pPr>
        <w:rPr>
          <w:rFonts w:eastAsia="Times New Roman"/>
        </w:rPr>
      </w:pPr>
      <w:r w:rsidRPr="00B7028C">
        <w:rPr>
          <w:rFonts w:eastAsia="Times New Roman"/>
        </w:rPr>
        <w:t xml:space="preserve">www.courts.ca.gov/partners/documents/psych_dis.pdf </w:t>
      </w:r>
    </w:p>
    <w:p w:rsidR="00B7028C" w:rsidRDefault="00EB025E" w:rsidP="00235DF6">
      <w:r w:rsidRPr="00EB025E">
        <w:lastRenderedPageBreak/>
        <w:t xml:space="preserve">Psychiatric Disabilities Psychiatric disabilities cover a wide range of conditions, including eating disorders, posttraumatic stress disorder, anxiety disorders, depression, and other psychiatric conditions. Psychiatric disabilities are very common. The National Institute of Mental Health reports that as many as 1 in 4 adults in the United States will suffer from a diagnosable psychiatric condition in any given year. Being in a college environment can be helpful to students with psychiatric disabilities as it often provides a structure and routine that aids students in the recovery process. Many psychological conditions are treated using a combination of medication, therapy, and support. Because of the social stigma that often accompanies psychiatric disabilities, students may be reluctant to disclose their needs for accommodations. Some of the causes of psychiatric disabilities are trauma, biochemical imbalances, </w:t>
      </w:r>
      <w:proofErr w:type="gramStart"/>
      <w:r w:rsidR="00B7028C" w:rsidRPr="00EB025E">
        <w:t>differences</w:t>
      </w:r>
      <w:proofErr w:type="gramEnd"/>
      <w:r w:rsidRPr="00EB025E">
        <w:t xml:space="preserve"> in brain structure, highly stressful life experiences, and other genetic, biological, and social factors. While it likely takes a combination of several of these factors to produce a serious psychological disability, researchers are still working to discover specific causes of these conditions. </w:t>
      </w:r>
    </w:p>
    <w:p w:rsidR="00B7028C" w:rsidRDefault="00EB025E" w:rsidP="00235DF6">
      <w:r w:rsidRPr="00EB025E">
        <w:t xml:space="preserve">The disorders most commonly experienced by students at Southern include: </w:t>
      </w:r>
    </w:p>
    <w:p w:rsidR="00B7028C" w:rsidRDefault="00EB025E" w:rsidP="00235DF6">
      <w:r w:rsidRPr="00EB025E">
        <w:t xml:space="preserve">• Anxiety / Panic Disorders • Depressive Disorders • Eating Disorders • Obsessive-Compulsive Disorders • Personality Disorders • Post Traumatic Stress Disorders • Schizophrenia and Schizoaffective Disorder • Substance Abuse </w:t>
      </w:r>
    </w:p>
    <w:p w:rsidR="00EB025E" w:rsidRPr="00EB025E" w:rsidRDefault="00EB025E" w:rsidP="00235DF6">
      <w:pPr>
        <w:rPr>
          <w:rFonts w:eastAsia="Times New Roman" w:cs="Arial"/>
          <w:color w:val="777777"/>
          <w:sz w:val="27"/>
          <w:szCs w:val="27"/>
        </w:rPr>
      </w:pPr>
      <w:r w:rsidRPr="00EB025E">
        <w:t>Common Psychiatric Disorders</w:t>
      </w:r>
      <w:r w:rsidR="00B7028C">
        <w:t>,</w:t>
      </w:r>
      <w:r w:rsidRPr="00EB025E">
        <w:t xml:space="preserve"> Psychiatric or emotional disabilities are often viewed differently from other disabilities. Individuals with psychiatric disabilities are frequently blamed for their condition. However, students with emotional or psychological disorders have no more control over their conditions than do students with physical or sensory impairments, learning disabilities, or other chronic health conditions.</w:t>
      </w:r>
    </w:p>
    <w:p w:rsidR="00B7028C" w:rsidRPr="00B7028C" w:rsidRDefault="00BA7259" w:rsidP="006B1E75">
      <w:pPr>
        <w:pStyle w:val="Heading2"/>
        <w:rPr>
          <w:rFonts w:eastAsia="Times New Roman"/>
          <w:color w:val="777777"/>
        </w:rPr>
      </w:pPr>
      <w:hyperlink r:id="rId10" w:history="1">
        <w:r w:rsidR="00B7028C" w:rsidRPr="00B7028C">
          <w:rPr>
            <w:rFonts w:eastAsia="Times New Roman"/>
          </w:rPr>
          <w:t>University of Illinois Urbana-Champaign</w:t>
        </w:r>
      </w:hyperlink>
    </w:p>
    <w:p w:rsidR="00B7028C" w:rsidRDefault="006B1E75" w:rsidP="006B1E75">
      <w:pPr>
        <w:rPr>
          <w:rFonts w:eastAsia="Times New Roman"/>
        </w:rPr>
      </w:pPr>
      <w:r w:rsidRPr="006B1E75">
        <w:rPr>
          <w:rFonts w:eastAsia="Times New Roman"/>
        </w:rPr>
        <w:t>College of Applied Health Sciences</w:t>
      </w:r>
      <w:r>
        <w:rPr>
          <w:rFonts w:eastAsia="Times New Roman"/>
        </w:rPr>
        <w:t>,</w:t>
      </w:r>
      <w:r w:rsidRPr="006B1E75">
        <w:rPr>
          <w:rFonts w:eastAsia="Times New Roman"/>
        </w:rPr>
        <w:t xml:space="preserve"> Division of Disability Resources &amp; Educational Services</w:t>
      </w:r>
    </w:p>
    <w:p w:rsidR="004437D6" w:rsidRPr="00B7028C" w:rsidRDefault="004437D6" w:rsidP="006B1E75">
      <w:r w:rsidRPr="00B7028C">
        <w:t>Students with psychiatric disabilities experience significant emotional difficulty that may or may not have required treatment in a hospital. With appropriate treatment, often combining medications, psychotherapy, and support, the majority of psychiatric disorders are cured or controlled.</w:t>
      </w:r>
    </w:p>
    <w:p w:rsidR="004437D6" w:rsidRPr="00B7028C" w:rsidRDefault="004437D6" w:rsidP="006B1E75">
      <w:r w:rsidRPr="00B7028C">
        <w:t>The National Institute of Mental Health estimates that many people in the United States have some form of psychiatric disorder. However, only one in five persons with a diagnosable psychiatric disorder ever seeks treatment due to the strong stigmatization involved. It is important to note that not all psychiatric disorders identified in the DSM-IV are "disabilities" as defined by the ADA and Section 504.</w:t>
      </w:r>
    </w:p>
    <w:p w:rsidR="00A851DE" w:rsidRDefault="00A851DE" w:rsidP="00A851DE">
      <w:pPr>
        <w:pStyle w:val="Heading2"/>
        <w:sectPr w:rsidR="00A851DE" w:rsidSect="003C4324">
          <w:pgSz w:w="12240" w:h="15840"/>
          <w:pgMar w:top="1440" w:right="1440" w:bottom="1440" w:left="1440" w:header="720" w:footer="720" w:gutter="0"/>
          <w:cols w:space="720"/>
          <w:docGrid w:linePitch="360"/>
        </w:sectPr>
      </w:pPr>
    </w:p>
    <w:p w:rsidR="00EB025E" w:rsidRDefault="00A851DE" w:rsidP="00A851DE">
      <w:pPr>
        <w:pStyle w:val="Heading2"/>
        <w:rPr>
          <w:rFonts w:ascii="Verdana" w:hAnsi="Verdana"/>
          <w:sz w:val="24"/>
        </w:rPr>
      </w:pPr>
      <w:r>
        <w:lastRenderedPageBreak/>
        <w:t>Recovery Movement, IL and Rehabilitation/Medical Models Compared</w:t>
      </w:r>
    </w:p>
    <w:p w:rsidR="00A851DE" w:rsidRPr="00A851DE" w:rsidRDefault="00A851DE" w:rsidP="00A851DE">
      <w:r w:rsidRPr="00A851DE">
        <w:t xml:space="preserve">Adapted from </w:t>
      </w:r>
      <w:proofErr w:type="spellStart"/>
      <w:r w:rsidRPr="00A851DE">
        <w:t>DeJong</w:t>
      </w:r>
      <w:proofErr w:type="spellEnd"/>
      <w:r w:rsidRPr="00A851DE">
        <w:t xml:space="preserve">, Independent Living: From Social Movement to Analytic Paradigm (1979) </w:t>
      </w:r>
    </w:p>
    <w:tbl>
      <w:tblPr>
        <w:tblW w:w="13180" w:type="dxa"/>
        <w:tblCellMar>
          <w:left w:w="0" w:type="dxa"/>
          <w:right w:w="0" w:type="dxa"/>
        </w:tblCellMar>
        <w:tblLook w:val="04A0" w:firstRow="1" w:lastRow="0" w:firstColumn="1" w:lastColumn="0" w:noHBand="0" w:noVBand="1"/>
      </w:tblPr>
      <w:tblGrid>
        <w:gridCol w:w="3295"/>
        <w:gridCol w:w="3299"/>
        <w:gridCol w:w="3293"/>
        <w:gridCol w:w="3293"/>
      </w:tblGrid>
      <w:tr w:rsidR="00A851DE" w:rsidRPr="00A851DE" w:rsidTr="00A851DE">
        <w:trPr>
          <w:trHeight w:val="440"/>
        </w:trPr>
        <w:tc>
          <w:tcPr>
            <w:tcW w:w="3300" w:type="dxa"/>
            <w:tcBorders>
              <w:top w:val="single" w:sz="8" w:space="0" w:color="FFFFFF"/>
              <w:left w:val="single" w:sz="8" w:space="0" w:color="FFFFFF"/>
              <w:bottom w:val="single" w:sz="24" w:space="0" w:color="FFFFFF"/>
              <w:right w:val="single" w:sz="8" w:space="0" w:color="FFFFFF"/>
            </w:tcBorders>
            <w:shd w:val="clear" w:color="auto" w:fill="224B50"/>
            <w:tcMar>
              <w:top w:w="15" w:type="dxa"/>
              <w:left w:w="108" w:type="dxa"/>
              <w:bottom w:w="0" w:type="dxa"/>
              <w:right w:w="108" w:type="dxa"/>
            </w:tcMar>
            <w:hideMark/>
          </w:tcPr>
          <w:p w:rsidR="005E582A" w:rsidRPr="00A851DE" w:rsidRDefault="00A851DE" w:rsidP="00A851DE">
            <w:pPr>
              <w:rPr>
                <w:color w:val="FFFFFF" w:themeColor="background1"/>
              </w:rPr>
            </w:pPr>
            <w:r w:rsidRPr="00A851DE">
              <w:rPr>
                <w:b/>
                <w:bCs/>
                <w:color w:val="FFFFFF" w:themeColor="background1"/>
              </w:rPr>
              <w:t> </w:t>
            </w:r>
          </w:p>
        </w:tc>
        <w:tc>
          <w:tcPr>
            <w:tcW w:w="3300" w:type="dxa"/>
            <w:tcBorders>
              <w:top w:val="single" w:sz="8" w:space="0" w:color="FFFFFF"/>
              <w:left w:val="single" w:sz="8" w:space="0" w:color="FFFFFF"/>
              <w:bottom w:val="single" w:sz="24" w:space="0" w:color="FFFFFF"/>
              <w:right w:val="single" w:sz="8" w:space="0" w:color="FFFFFF"/>
            </w:tcBorders>
            <w:shd w:val="clear" w:color="auto" w:fill="224B50"/>
            <w:tcMar>
              <w:top w:w="15" w:type="dxa"/>
              <w:left w:w="108" w:type="dxa"/>
              <w:bottom w:w="0" w:type="dxa"/>
              <w:right w:w="108" w:type="dxa"/>
            </w:tcMar>
            <w:vAlign w:val="center"/>
            <w:hideMark/>
          </w:tcPr>
          <w:p w:rsidR="005E582A" w:rsidRPr="00A851DE" w:rsidRDefault="00A851DE" w:rsidP="00A851DE">
            <w:pPr>
              <w:rPr>
                <w:color w:val="FFFFFF" w:themeColor="background1"/>
              </w:rPr>
            </w:pPr>
            <w:r w:rsidRPr="00A851DE">
              <w:rPr>
                <w:b/>
                <w:bCs/>
                <w:color w:val="FFFFFF" w:themeColor="background1"/>
              </w:rPr>
              <w:t>Rehabilitation</w:t>
            </w:r>
          </w:p>
        </w:tc>
        <w:tc>
          <w:tcPr>
            <w:tcW w:w="3300" w:type="dxa"/>
            <w:tcBorders>
              <w:top w:val="single" w:sz="8" w:space="0" w:color="FFFFFF"/>
              <w:left w:val="single" w:sz="8" w:space="0" w:color="FFFFFF"/>
              <w:bottom w:val="single" w:sz="24" w:space="0" w:color="FFFFFF"/>
              <w:right w:val="single" w:sz="8" w:space="0" w:color="FFFFFF"/>
            </w:tcBorders>
            <w:shd w:val="clear" w:color="auto" w:fill="224B50"/>
            <w:tcMar>
              <w:top w:w="15" w:type="dxa"/>
              <w:left w:w="108" w:type="dxa"/>
              <w:bottom w:w="0" w:type="dxa"/>
              <w:right w:w="108" w:type="dxa"/>
            </w:tcMar>
            <w:vAlign w:val="center"/>
            <w:hideMark/>
          </w:tcPr>
          <w:p w:rsidR="005E582A" w:rsidRPr="00A851DE" w:rsidRDefault="00A851DE" w:rsidP="00A851DE">
            <w:pPr>
              <w:rPr>
                <w:color w:val="FFFFFF" w:themeColor="background1"/>
              </w:rPr>
            </w:pPr>
            <w:r w:rsidRPr="00A851DE">
              <w:rPr>
                <w:b/>
                <w:bCs/>
                <w:color w:val="FFFFFF" w:themeColor="background1"/>
              </w:rPr>
              <w:t>Independent Living</w:t>
            </w:r>
          </w:p>
        </w:tc>
        <w:tc>
          <w:tcPr>
            <w:tcW w:w="3300" w:type="dxa"/>
            <w:tcBorders>
              <w:top w:val="single" w:sz="8" w:space="0" w:color="FFFFFF"/>
              <w:left w:val="single" w:sz="8" w:space="0" w:color="FFFFFF"/>
              <w:bottom w:val="single" w:sz="24" w:space="0" w:color="FFFFFF"/>
              <w:right w:val="single" w:sz="8" w:space="0" w:color="FFFFFF"/>
            </w:tcBorders>
            <w:shd w:val="clear" w:color="auto" w:fill="224B50"/>
            <w:tcMar>
              <w:top w:w="15" w:type="dxa"/>
              <w:left w:w="108" w:type="dxa"/>
              <w:bottom w:w="0" w:type="dxa"/>
              <w:right w:w="108" w:type="dxa"/>
            </w:tcMar>
            <w:vAlign w:val="center"/>
            <w:hideMark/>
          </w:tcPr>
          <w:p w:rsidR="005E582A" w:rsidRPr="00A851DE" w:rsidRDefault="00A851DE" w:rsidP="00A851DE">
            <w:pPr>
              <w:rPr>
                <w:color w:val="FFFFFF" w:themeColor="background1"/>
              </w:rPr>
            </w:pPr>
            <w:r w:rsidRPr="00A851DE">
              <w:rPr>
                <w:b/>
                <w:bCs/>
                <w:color w:val="FFFFFF" w:themeColor="background1"/>
              </w:rPr>
              <w:t>Recovery</w:t>
            </w:r>
          </w:p>
        </w:tc>
      </w:tr>
      <w:tr w:rsidR="00A851DE" w:rsidRPr="00A851DE" w:rsidTr="00A851DE">
        <w:trPr>
          <w:trHeight w:val="753"/>
        </w:trPr>
        <w:tc>
          <w:tcPr>
            <w:tcW w:w="3300" w:type="dxa"/>
            <w:tcBorders>
              <w:top w:val="single" w:sz="24"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Definition of Problem</w:t>
            </w:r>
          </w:p>
        </w:tc>
        <w:tc>
          <w:tcPr>
            <w:tcW w:w="330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Impairment/Lack of skill</w:t>
            </w:r>
          </w:p>
        </w:tc>
        <w:tc>
          <w:tcPr>
            <w:tcW w:w="330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Dependence on professionals, etc.</w:t>
            </w:r>
          </w:p>
        </w:tc>
        <w:tc>
          <w:tcPr>
            <w:tcW w:w="330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Trauma, Extreme emotional distress</w:t>
            </w:r>
          </w:p>
        </w:tc>
      </w:tr>
      <w:tr w:rsidR="00A851DE" w:rsidRPr="00A851DE" w:rsidTr="00A851DE">
        <w:trPr>
          <w:trHeight w:val="757"/>
        </w:trPr>
        <w:tc>
          <w:tcPr>
            <w:tcW w:w="3300" w:type="dxa"/>
            <w:tcBorders>
              <w:top w:val="single" w:sz="8"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Locus of Problem</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In Individual</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In the environment, Rehabilitation process</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In the environment, people causing trauma</w:t>
            </w:r>
          </w:p>
        </w:tc>
      </w:tr>
      <w:tr w:rsidR="00A851DE" w:rsidRPr="00A851DE" w:rsidTr="00A851DE">
        <w:trPr>
          <w:trHeight w:val="1243"/>
        </w:trPr>
        <w:tc>
          <w:tcPr>
            <w:tcW w:w="3300" w:type="dxa"/>
            <w:tcBorders>
              <w:top w:val="single" w:sz="8"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Solution/ Supports</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Professional intervention</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Peer counseling, advocacy, self-help, consumer control &amp; barrier removal</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Move from clinical to Life Coaches &amp; peer support</w:t>
            </w:r>
          </w:p>
        </w:tc>
      </w:tr>
      <w:tr w:rsidR="00A851DE" w:rsidRPr="00A851DE" w:rsidTr="00A851DE">
        <w:trPr>
          <w:trHeight w:val="667"/>
        </w:trPr>
        <w:tc>
          <w:tcPr>
            <w:tcW w:w="3300" w:type="dxa"/>
            <w:tcBorders>
              <w:top w:val="single" w:sz="8"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Self-help Centers</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 </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Independent Living Centers</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Consumer-run Recovery Centers</w:t>
            </w:r>
          </w:p>
        </w:tc>
      </w:tr>
      <w:tr w:rsidR="00A851DE" w:rsidRPr="00A851DE" w:rsidTr="00A851DE">
        <w:trPr>
          <w:trHeight w:val="1243"/>
        </w:trPr>
        <w:tc>
          <w:tcPr>
            <w:tcW w:w="3300" w:type="dxa"/>
            <w:tcBorders>
              <w:top w:val="single" w:sz="8"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Identity/Social Role</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Patient/client/diagnosis</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Consumer (person first not disability)</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May be peer, consumer, survivor, ex-patient (Person first not disability)</w:t>
            </w:r>
          </w:p>
        </w:tc>
      </w:tr>
      <w:tr w:rsidR="00A851DE" w:rsidRPr="00A851DE" w:rsidTr="00A851DE">
        <w:trPr>
          <w:trHeight w:val="757"/>
        </w:trPr>
        <w:tc>
          <w:tcPr>
            <w:tcW w:w="3300" w:type="dxa"/>
            <w:tcBorders>
              <w:top w:val="single" w:sz="8"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Locus of Control/ Advocacy</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Doctor/Other professional</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Consumer (Nothing about us without us)</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Person (Nothing about us without us)</w:t>
            </w:r>
          </w:p>
        </w:tc>
      </w:tr>
      <w:tr w:rsidR="00A851DE" w:rsidRPr="00A851DE" w:rsidTr="00A851DE">
        <w:trPr>
          <w:trHeight w:val="613"/>
        </w:trPr>
        <w:tc>
          <w:tcPr>
            <w:tcW w:w="3300" w:type="dxa"/>
            <w:tcBorders>
              <w:top w:val="single" w:sz="8"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Principles</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Follow treatment plan</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Consumer-control &amp; Choice</w:t>
            </w:r>
          </w:p>
        </w:tc>
        <w:tc>
          <w:tcPr>
            <w:tcW w:w="33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5E582A" w:rsidRPr="00A851DE" w:rsidRDefault="00A851DE" w:rsidP="00A851DE">
            <w:r w:rsidRPr="00A851DE">
              <w:t>Self-determination &amp; Choice</w:t>
            </w:r>
          </w:p>
        </w:tc>
      </w:tr>
      <w:tr w:rsidR="00A851DE" w:rsidRPr="00A851DE" w:rsidTr="00A851DE">
        <w:trPr>
          <w:trHeight w:val="880"/>
        </w:trPr>
        <w:tc>
          <w:tcPr>
            <w:tcW w:w="3300" w:type="dxa"/>
            <w:tcBorders>
              <w:top w:val="single" w:sz="8" w:space="0" w:color="FFFFFF"/>
              <w:left w:val="single" w:sz="8" w:space="0" w:color="FFFFFF"/>
              <w:bottom w:val="single" w:sz="8" w:space="0" w:color="FFFFFF"/>
              <w:right w:val="single" w:sz="8" w:space="0" w:color="FFFFFF"/>
            </w:tcBorders>
            <w:shd w:val="clear" w:color="auto" w:fill="DAEDEF"/>
            <w:tcMar>
              <w:top w:w="15" w:type="dxa"/>
              <w:left w:w="108" w:type="dxa"/>
              <w:bottom w:w="0" w:type="dxa"/>
              <w:right w:w="108" w:type="dxa"/>
            </w:tcMar>
            <w:hideMark/>
          </w:tcPr>
          <w:p w:rsidR="005E582A" w:rsidRPr="00A851DE" w:rsidRDefault="00A851DE" w:rsidP="00A851DE">
            <w:r w:rsidRPr="00A851DE">
              <w:rPr>
                <w:b/>
                <w:bCs/>
              </w:rPr>
              <w:t>Desired Outcome</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Rehabilitation (Maximum ADLs, Gainful employment)</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Independent Living</w:t>
            </w:r>
          </w:p>
        </w:tc>
        <w:tc>
          <w:tcPr>
            <w:tcW w:w="33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5E582A" w:rsidRPr="00A851DE" w:rsidRDefault="00A851DE" w:rsidP="00A851DE">
            <w:r w:rsidRPr="00A851DE">
              <w:t>Recovery</w:t>
            </w:r>
          </w:p>
        </w:tc>
      </w:tr>
    </w:tbl>
    <w:p w:rsidR="00A851DE" w:rsidRPr="00A851DE" w:rsidRDefault="00A851DE" w:rsidP="00A851DE"/>
    <w:sectPr w:rsidR="00A851DE" w:rsidRPr="00A851DE" w:rsidSect="00A851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D6B"/>
    <w:multiLevelType w:val="multilevel"/>
    <w:tmpl w:val="0380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FB7EF6"/>
    <w:multiLevelType w:val="multilevel"/>
    <w:tmpl w:val="FF7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A45E61"/>
    <w:multiLevelType w:val="multilevel"/>
    <w:tmpl w:val="D578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B025E"/>
    <w:rsid w:val="00235DF6"/>
    <w:rsid w:val="003C4324"/>
    <w:rsid w:val="003C469C"/>
    <w:rsid w:val="004437D6"/>
    <w:rsid w:val="005E582A"/>
    <w:rsid w:val="0062399D"/>
    <w:rsid w:val="006B1E75"/>
    <w:rsid w:val="00706A1F"/>
    <w:rsid w:val="00754F0F"/>
    <w:rsid w:val="007F410A"/>
    <w:rsid w:val="008661F5"/>
    <w:rsid w:val="009725E1"/>
    <w:rsid w:val="00A851DE"/>
    <w:rsid w:val="00B02E9A"/>
    <w:rsid w:val="00B7028C"/>
    <w:rsid w:val="00B81540"/>
    <w:rsid w:val="00BA7259"/>
    <w:rsid w:val="00C204C3"/>
    <w:rsid w:val="00CE7231"/>
    <w:rsid w:val="00EB025E"/>
    <w:rsid w:val="00ED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122B1-2296-48C3-9FAA-0D33DB3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F6"/>
    <w:pPr>
      <w:spacing w:after="60" w:line="240" w:lineRule="auto"/>
    </w:pPr>
    <w:rPr>
      <w:rFonts w:ascii="Verdana" w:hAnsi="Verdana"/>
      <w:sz w:val="24"/>
    </w:rPr>
  </w:style>
  <w:style w:type="paragraph" w:styleId="Heading1">
    <w:name w:val="heading 1"/>
    <w:basedOn w:val="Normal"/>
    <w:next w:val="Normal"/>
    <w:link w:val="Heading1Char"/>
    <w:uiPriority w:val="9"/>
    <w:qFormat/>
    <w:rsid w:val="006B1E75"/>
    <w:pPr>
      <w:keepNext/>
      <w:spacing w:before="240" w:after="120"/>
      <w:outlineLvl w:val="0"/>
    </w:pPr>
    <w:rPr>
      <w:b/>
      <w:sz w:val="32"/>
      <w:szCs w:val="32"/>
    </w:rPr>
  </w:style>
  <w:style w:type="paragraph" w:styleId="Heading2">
    <w:name w:val="heading 2"/>
    <w:basedOn w:val="Normal"/>
    <w:next w:val="Normal"/>
    <w:link w:val="Heading2Char"/>
    <w:uiPriority w:val="9"/>
    <w:unhideWhenUsed/>
    <w:qFormat/>
    <w:rsid w:val="00235DF6"/>
    <w:pPr>
      <w:keepNext/>
      <w:shd w:val="clear" w:color="auto" w:fill="FFFFFF"/>
      <w:spacing w:before="120"/>
      <w:outlineLvl w:val="1"/>
    </w:pPr>
    <w:rPr>
      <w:rFonts w:ascii="Arial Black" w:hAnsi="Arial Black"/>
      <w:color w:val="7030A0"/>
      <w:sz w:val="28"/>
    </w:rPr>
  </w:style>
  <w:style w:type="paragraph" w:styleId="Heading3">
    <w:name w:val="heading 3"/>
    <w:basedOn w:val="Normal"/>
    <w:link w:val="Heading3Char"/>
    <w:uiPriority w:val="9"/>
    <w:qFormat/>
    <w:rsid w:val="00EB02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25E"/>
    <w:rPr>
      <w:rFonts w:ascii="Times New Roman" w:eastAsia="Times New Roman" w:hAnsi="Times New Roman" w:cs="Times New Roman"/>
      <w:b/>
      <w:bCs/>
      <w:sz w:val="27"/>
      <w:szCs w:val="27"/>
    </w:rPr>
  </w:style>
  <w:style w:type="character" w:customStyle="1" w:styleId="tgc">
    <w:name w:val="_tgc"/>
    <w:basedOn w:val="DefaultParagraphFont"/>
    <w:rsid w:val="00EB025E"/>
  </w:style>
  <w:style w:type="character" w:customStyle="1" w:styleId="apple-converted-space">
    <w:name w:val="apple-converted-space"/>
    <w:basedOn w:val="DefaultParagraphFont"/>
    <w:rsid w:val="00EB025E"/>
  </w:style>
  <w:style w:type="character" w:styleId="Hyperlink">
    <w:name w:val="Hyperlink"/>
    <w:basedOn w:val="DefaultParagraphFont"/>
    <w:uiPriority w:val="99"/>
    <w:semiHidden/>
    <w:unhideWhenUsed/>
    <w:rsid w:val="00EB025E"/>
    <w:rPr>
      <w:color w:val="0000FF"/>
      <w:u w:val="single"/>
    </w:rPr>
  </w:style>
  <w:style w:type="character" w:styleId="HTMLCite">
    <w:name w:val="HTML Cite"/>
    <w:basedOn w:val="DefaultParagraphFont"/>
    <w:uiPriority w:val="99"/>
    <w:semiHidden/>
    <w:unhideWhenUsed/>
    <w:rsid w:val="00EB025E"/>
    <w:rPr>
      <w:i/>
      <w:iCs/>
    </w:rPr>
  </w:style>
  <w:style w:type="paragraph" w:styleId="NormalWeb">
    <w:name w:val="Normal (Web)"/>
    <w:basedOn w:val="Normal"/>
    <w:uiPriority w:val="99"/>
    <w:semiHidden/>
    <w:unhideWhenUsed/>
    <w:rsid w:val="00EB025E"/>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235DF6"/>
    <w:rPr>
      <w:rFonts w:ascii="Arial Black" w:hAnsi="Arial Black"/>
      <w:color w:val="7030A0"/>
      <w:sz w:val="28"/>
      <w:shd w:val="clear" w:color="auto" w:fill="FFFFFF"/>
    </w:rPr>
  </w:style>
  <w:style w:type="character" w:customStyle="1" w:styleId="Heading1Char">
    <w:name w:val="Heading 1 Char"/>
    <w:basedOn w:val="DefaultParagraphFont"/>
    <w:link w:val="Heading1"/>
    <w:uiPriority w:val="9"/>
    <w:rsid w:val="006B1E75"/>
    <w:rPr>
      <w:rFonts w:ascii="Verdana" w:hAnsi="Verdana"/>
      <w:b/>
      <w:sz w:val="32"/>
      <w:szCs w:val="32"/>
    </w:rPr>
  </w:style>
  <w:style w:type="character" w:customStyle="1" w:styleId="collapsebutton">
    <w:name w:val="collapsebutton"/>
    <w:basedOn w:val="DefaultParagraphFont"/>
    <w:rsid w:val="00C204C3"/>
  </w:style>
  <w:style w:type="character" w:customStyle="1" w:styleId="mbox-text-span">
    <w:name w:val="mbox-text-span"/>
    <w:basedOn w:val="DefaultParagraphFont"/>
    <w:rsid w:val="00C204C3"/>
  </w:style>
  <w:style w:type="paragraph" w:styleId="BalloonText">
    <w:name w:val="Balloon Text"/>
    <w:basedOn w:val="Normal"/>
    <w:link w:val="BalloonTextChar"/>
    <w:uiPriority w:val="99"/>
    <w:semiHidden/>
    <w:unhideWhenUsed/>
    <w:rsid w:val="00C20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C3"/>
    <w:rPr>
      <w:rFonts w:ascii="Tahoma" w:hAnsi="Tahoma" w:cs="Tahoma"/>
      <w:sz w:val="16"/>
      <w:szCs w:val="16"/>
    </w:rPr>
  </w:style>
  <w:style w:type="character" w:customStyle="1" w:styleId="toctoggle">
    <w:name w:val="toctoggle"/>
    <w:basedOn w:val="DefaultParagraphFont"/>
    <w:rsid w:val="00754F0F"/>
  </w:style>
  <w:style w:type="character" w:customStyle="1" w:styleId="tocnumber">
    <w:name w:val="tocnumber"/>
    <w:basedOn w:val="DefaultParagraphFont"/>
    <w:rsid w:val="00754F0F"/>
  </w:style>
  <w:style w:type="character" w:customStyle="1" w:styleId="toctext">
    <w:name w:val="toctext"/>
    <w:basedOn w:val="DefaultParagraphFont"/>
    <w:rsid w:val="00754F0F"/>
  </w:style>
  <w:style w:type="character" w:customStyle="1" w:styleId="mw-headline">
    <w:name w:val="mw-headline"/>
    <w:basedOn w:val="DefaultParagraphFont"/>
    <w:rsid w:val="00754F0F"/>
  </w:style>
  <w:style w:type="character" w:customStyle="1" w:styleId="mw-editsection">
    <w:name w:val="mw-editsection"/>
    <w:basedOn w:val="DefaultParagraphFont"/>
    <w:rsid w:val="00754F0F"/>
  </w:style>
  <w:style w:type="character" w:customStyle="1" w:styleId="mw-editsection-bracket">
    <w:name w:val="mw-editsection-bracket"/>
    <w:basedOn w:val="DefaultParagraphFont"/>
    <w:rsid w:val="00754F0F"/>
  </w:style>
  <w:style w:type="paragraph" w:styleId="Title">
    <w:name w:val="Title"/>
    <w:basedOn w:val="Normal"/>
    <w:next w:val="Normal"/>
    <w:link w:val="TitleChar"/>
    <w:uiPriority w:val="10"/>
    <w:qFormat/>
    <w:rsid w:val="006B1E75"/>
    <w:pPr>
      <w:jc w:val="center"/>
    </w:pPr>
    <w:rPr>
      <w:b/>
      <w:sz w:val="32"/>
      <w:szCs w:val="32"/>
    </w:rPr>
  </w:style>
  <w:style w:type="character" w:customStyle="1" w:styleId="TitleChar">
    <w:name w:val="Title Char"/>
    <w:basedOn w:val="DefaultParagraphFont"/>
    <w:link w:val="Title"/>
    <w:uiPriority w:val="10"/>
    <w:rsid w:val="006B1E75"/>
    <w:rPr>
      <w:rFonts w:ascii="Verdana" w:hAnsi="Verdan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49441">
      <w:bodyDiv w:val="1"/>
      <w:marLeft w:val="0"/>
      <w:marRight w:val="0"/>
      <w:marTop w:val="0"/>
      <w:marBottom w:val="0"/>
      <w:divBdr>
        <w:top w:val="none" w:sz="0" w:space="0" w:color="auto"/>
        <w:left w:val="none" w:sz="0" w:space="0" w:color="auto"/>
        <w:bottom w:val="none" w:sz="0" w:space="0" w:color="auto"/>
        <w:right w:val="none" w:sz="0" w:space="0" w:color="auto"/>
      </w:divBdr>
    </w:div>
    <w:div w:id="646012262">
      <w:bodyDiv w:val="1"/>
      <w:marLeft w:val="0"/>
      <w:marRight w:val="0"/>
      <w:marTop w:val="0"/>
      <w:marBottom w:val="0"/>
      <w:divBdr>
        <w:top w:val="none" w:sz="0" w:space="0" w:color="auto"/>
        <w:left w:val="none" w:sz="0" w:space="0" w:color="auto"/>
        <w:bottom w:val="none" w:sz="0" w:space="0" w:color="auto"/>
        <w:right w:val="none" w:sz="0" w:space="0" w:color="auto"/>
      </w:divBdr>
    </w:div>
    <w:div w:id="671639223">
      <w:bodyDiv w:val="1"/>
      <w:marLeft w:val="0"/>
      <w:marRight w:val="0"/>
      <w:marTop w:val="0"/>
      <w:marBottom w:val="0"/>
      <w:divBdr>
        <w:top w:val="none" w:sz="0" w:space="0" w:color="auto"/>
        <w:left w:val="none" w:sz="0" w:space="0" w:color="auto"/>
        <w:bottom w:val="none" w:sz="0" w:space="0" w:color="auto"/>
        <w:right w:val="none" w:sz="0" w:space="0" w:color="auto"/>
      </w:divBdr>
      <w:divsChild>
        <w:div w:id="362704945">
          <w:marLeft w:val="0"/>
          <w:marRight w:val="0"/>
          <w:marTop w:val="0"/>
          <w:marBottom w:val="0"/>
          <w:divBdr>
            <w:top w:val="none" w:sz="0" w:space="0" w:color="auto"/>
            <w:left w:val="none" w:sz="0" w:space="0" w:color="auto"/>
            <w:bottom w:val="none" w:sz="0" w:space="0" w:color="auto"/>
            <w:right w:val="none" w:sz="0" w:space="0" w:color="auto"/>
          </w:divBdr>
          <w:divsChild>
            <w:div w:id="1147235927">
              <w:marLeft w:val="0"/>
              <w:marRight w:val="0"/>
              <w:marTop w:val="0"/>
              <w:marBottom w:val="0"/>
              <w:divBdr>
                <w:top w:val="none" w:sz="0" w:space="0" w:color="auto"/>
                <w:left w:val="none" w:sz="0" w:space="0" w:color="auto"/>
                <w:bottom w:val="none" w:sz="0" w:space="0" w:color="auto"/>
                <w:right w:val="none" w:sz="0" w:space="0" w:color="auto"/>
              </w:divBdr>
            </w:div>
            <w:div w:id="2058964534">
              <w:marLeft w:val="0"/>
              <w:marRight w:val="0"/>
              <w:marTop w:val="0"/>
              <w:marBottom w:val="0"/>
              <w:divBdr>
                <w:top w:val="none" w:sz="0" w:space="0" w:color="auto"/>
                <w:left w:val="none" w:sz="0" w:space="0" w:color="auto"/>
                <w:bottom w:val="none" w:sz="0" w:space="0" w:color="auto"/>
                <w:right w:val="none" w:sz="0" w:space="0" w:color="auto"/>
              </w:divBdr>
              <w:divsChild>
                <w:div w:id="9307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1315">
      <w:bodyDiv w:val="1"/>
      <w:marLeft w:val="0"/>
      <w:marRight w:val="0"/>
      <w:marTop w:val="0"/>
      <w:marBottom w:val="0"/>
      <w:divBdr>
        <w:top w:val="none" w:sz="0" w:space="0" w:color="auto"/>
        <w:left w:val="none" w:sz="0" w:space="0" w:color="auto"/>
        <w:bottom w:val="none" w:sz="0" w:space="0" w:color="auto"/>
        <w:right w:val="none" w:sz="0" w:space="0" w:color="auto"/>
      </w:divBdr>
    </w:div>
    <w:div w:id="752162143">
      <w:bodyDiv w:val="1"/>
      <w:marLeft w:val="0"/>
      <w:marRight w:val="0"/>
      <w:marTop w:val="0"/>
      <w:marBottom w:val="0"/>
      <w:divBdr>
        <w:top w:val="none" w:sz="0" w:space="0" w:color="auto"/>
        <w:left w:val="none" w:sz="0" w:space="0" w:color="auto"/>
        <w:bottom w:val="none" w:sz="0" w:space="0" w:color="auto"/>
        <w:right w:val="none" w:sz="0" w:space="0" w:color="auto"/>
      </w:divBdr>
      <w:divsChild>
        <w:div w:id="1291594366">
          <w:marLeft w:val="0"/>
          <w:marRight w:val="0"/>
          <w:marTop w:val="0"/>
          <w:marBottom w:val="0"/>
          <w:divBdr>
            <w:top w:val="none" w:sz="0" w:space="0" w:color="auto"/>
            <w:left w:val="none" w:sz="0" w:space="0" w:color="auto"/>
            <w:bottom w:val="none" w:sz="0" w:space="0" w:color="auto"/>
            <w:right w:val="none" w:sz="0" w:space="0" w:color="auto"/>
          </w:divBdr>
          <w:divsChild>
            <w:div w:id="316764650">
              <w:marLeft w:val="0"/>
              <w:marRight w:val="0"/>
              <w:marTop w:val="0"/>
              <w:marBottom w:val="0"/>
              <w:divBdr>
                <w:top w:val="none" w:sz="0" w:space="0" w:color="auto"/>
                <w:left w:val="none" w:sz="0" w:space="0" w:color="auto"/>
                <w:bottom w:val="none" w:sz="0" w:space="0" w:color="auto"/>
                <w:right w:val="none" w:sz="0" w:space="0" w:color="auto"/>
              </w:divBdr>
              <w:divsChild>
                <w:div w:id="648217340">
                  <w:marLeft w:val="0"/>
                  <w:marRight w:val="0"/>
                  <w:marTop w:val="0"/>
                  <w:marBottom w:val="0"/>
                  <w:divBdr>
                    <w:top w:val="none" w:sz="0" w:space="0" w:color="auto"/>
                    <w:left w:val="none" w:sz="0" w:space="0" w:color="auto"/>
                    <w:bottom w:val="none" w:sz="0" w:space="0" w:color="auto"/>
                    <w:right w:val="none" w:sz="0" w:space="0" w:color="auto"/>
                  </w:divBdr>
                  <w:divsChild>
                    <w:div w:id="1011107492">
                      <w:marLeft w:val="0"/>
                      <w:marRight w:val="0"/>
                      <w:marTop w:val="0"/>
                      <w:marBottom w:val="0"/>
                      <w:divBdr>
                        <w:top w:val="none" w:sz="0" w:space="0" w:color="auto"/>
                        <w:left w:val="none" w:sz="0" w:space="0" w:color="auto"/>
                        <w:bottom w:val="none" w:sz="0" w:space="0" w:color="auto"/>
                        <w:right w:val="none" w:sz="0" w:space="0" w:color="auto"/>
                      </w:divBdr>
                      <w:divsChild>
                        <w:div w:id="1146702788">
                          <w:marLeft w:val="60"/>
                          <w:marRight w:val="0"/>
                          <w:marTop w:val="0"/>
                          <w:marBottom w:val="0"/>
                          <w:divBdr>
                            <w:top w:val="none" w:sz="0" w:space="0" w:color="auto"/>
                            <w:left w:val="none" w:sz="0" w:space="0" w:color="auto"/>
                            <w:bottom w:val="none" w:sz="0" w:space="0" w:color="auto"/>
                            <w:right w:val="none" w:sz="0" w:space="0" w:color="auto"/>
                          </w:divBdr>
                          <w:divsChild>
                            <w:div w:id="846679010">
                              <w:marLeft w:val="60"/>
                              <w:marRight w:val="0"/>
                              <w:marTop w:val="0"/>
                              <w:marBottom w:val="0"/>
                              <w:divBdr>
                                <w:top w:val="none" w:sz="0" w:space="0" w:color="auto"/>
                                <w:left w:val="none" w:sz="0" w:space="0" w:color="auto"/>
                                <w:bottom w:val="none" w:sz="0" w:space="0" w:color="auto"/>
                                <w:right w:val="none" w:sz="0" w:space="0" w:color="auto"/>
                              </w:divBdr>
                              <w:divsChild>
                                <w:div w:id="1458178726">
                                  <w:marLeft w:val="0"/>
                                  <w:marRight w:val="0"/>
                                  <w:marTop w:val="0"/>
                                  <w:marBottom w:val="0"/>
                                  <w:divBdr>
                                    <w:top w:val="none" w:sz="0" w:space="0" w:color="auto"/>
                                    <w:left w:val="none" w:sz="0" w:space="0" w:color="auto"/>
                                    <w:bottom w:val="none" w:sz="0" w:space="0" w:color="auto"/>
                                    <w:right w:val="none" w:sz="0" w:space="0" w:color="auto"/>
                                  </w:divBdr>
                                </w:div>
                                <w:div w:id="2057312282">
                                  <w:marLeft w:val="0"/>
                                  <w:marRight w:val="0"/>
                                  <w:marTop w:val="0"/>
                                  <w:marBottom w:val="0"/>
                                  <w:divBdr>
                                    <w:top w:val="none" w:sz="0" w:space="0" w:color="auto"/>
                                    <w:left w:val="none" w:sz="0" w:space="0" w:color="auto"/>
                                    <w:bottom w:val="none" w:sz="0" w:space="0" w:color="auto"/>
                                    <w:right w:val="none" w:sz="0" w:space="0" w:color="auto"/>
                                  </w:divBdr>
                                  <w:divsChild>
                                    <w:div w:id="1455714879">
                                      <w:marLeft w:val="0"/>
                                      <w:marRight w:val="0"/>
                                      <w:marTop w:val="0"/>
                                      <w:marBottom w:val="0"/>
                                      <w:divBdr>
                                        <w:top w:val="none" w:sz="0" w:space="0" w:color="auto"/>
                                        <w:left w:val="none" w:sz="0" w:space="0" w:color="auto"/>
                                        <w:bottom w:val="none" w:sz="0" w:space="0" w:color="auto"/>
                                        <w:right w:val="none" w:sz="0" w:space="0" w:color="auto"/>
                                      </w:divBdr>
                                      <w:divsChild>
                                        <w:div w:id="288821351">
                                          <w:marLeft w:val="0"/>
                                          <w:marRight w:val="0"/>
                                          <w:marTop w:val="0"/>
                                          <w:marBottom w:val="0"/>
                                          <w:divBdr>
                                            <w:top w:val="none" w:sz="0" w:space="0" w:color="auto"/>
                                            <w:left w:val="none" w:sz="0" w:space="0" w:color="auto"/>
                                            <w:bottom w:val="none" w:sz="0" w:space="0" w:color="auto"/>
                                            <w:right w:val="none" w:sz="0" w:space="0" w:color="auto"/>
                                          </w:divBdr>
                                          <w:divsChild>
                                            <w:div w:id="1433435435">
                                              <w:marLeft w:val="0"/>
                                              <w:marRight w:val="0"/>
                                              <w:marTop w:val="0"/>
                                              <w:marBottom w:val="0"/>
                                              <w:divBdr>
                                                <w:top w:val="none" w:sz="0" w:space="0" w:color="auto"/>
                                                <w:left w:val="none" w:sz="0" w:space="0" w:color="auto"/>
                                                <w:bottom w:val="none" w:sz="0" w:space="0" w:color="auto"/>
                                                <w:right w:val="none" w:sz="0" w:space="0" w:color="auto"/>
                                              </w:divBdr>
                                              <w:divsChild>
                                                <w:div w:id="1620992312">
                                                  <w:marLeft w:val="60"/>
                                                  <w:marRight w:val="0"/>
                                                  <w:marTop w:val="0"/>
                                                  <w:marBottom w:val="0"/>
                                                  <w:divBdr>
                                                    <w:top w:val="none" w:sz="0" w:space="0" w:color="auto"/>
                                                    <w:left w:val="none" w:sz="0" w:space="0" w:color="auto"/>
                                                    <w:bottom w:val="none" w:sz="0" w:space="0" w:color="auto"/>
                                                    <w:right w:val="none" w:sz="0" w:space="0" w:color="auto"/>
                                                  </w:divBdr>
                                                  <w:divsChild>
                                                    <w:div w:id="3099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6905">
      <w:bodyDiv w:val="1"/>
      <w:marLeft w:val="0"/>
      <w:marRight w:val="0"/>
      <w:marTop w:val="0"/>
      <w:marBottom w:val="0"/>
      <w:divBdr>
        <w:top w:val="none" w:sz="0" w:space="0" w:color="auto"/>
        <w:left w:val="none" w:sz="0" w:space="0" w:color="auto"/>
        <w:bottom w:val="none" w:sz="0" w:space="0" w:color="auto"/>
        <w:right w:val="none" w:sz="0" w:space="0" w:color="auto"/>
      </w:divBdr>
    </w:div>
    <w:div w:id="816186527">
      <w:bodyDiv w:val="1"/>
      <w:marLeft w:val="0"/>
      <w:marRight w:val="0"/>
      <w:marTop w:val="0"/>
      <w:marBottom w:val="0"/>
      <w:divBdr>
        <w:top w:val="none" w:sz="0" w:space="0" w:color="auto"/>
        <w:left w:val="none" w:sz="0" w:space="0" w:color="auto"/>
        <w:bottom w:val="none" w:sz="0" w:space="0" w:color="auto"/>
        <w:right w:val="none" w:sz="0" w:space="0" w:color="auto"/>
      </w:divBdr>
    </w:div>
    <w:div w:id="1414356369">
      <w:bodyDiv w:val="1"/>
      <w:marLeft w:val="0"/>
      <w:marRight w:val="0"/>
      <w:marTop w:val="0"/>
      <w:marBottom w:val="0"/>
      <w:divBdr>
        <w:top w:val="none" w:sz="0" w:space="0" w:color="auto"/>
        <w:left w:val="none" w:sz="0" w:space="0" w:color="auto"/>
        <w:bottom w:val="none" w:sz="0" w:space="0" w:color="auto"/>
        <w:right w:val="none" w:sz="0" w:space="0" w:color="auto"/>
      </w:divBdr>
      <w:divsChild>
        <w:div w:id="1285111798">
          <w:marLeft w:val="0"/>
          <w:marRight w:val="0"/>
          <w:marTop w:val="0"/>
          <w:marBottom w:val="0"/>
          <w:divBdr>
            <w:top w:val="none" w:sz="0" w:space="0" w:color="auto"/>
            <w:left w:val="none" w:sz="0" w:space="0" w:color="auto"/>
            <w:bottom w:val="none" w:sz="0" w:space="0" w:color="auto"/>
            <w:right w:val="none" w:sz="0" w:space="0" w:color="auto"/>
          </w:divBdr>
          <w:divsChild>
            <w:div w:id="777263807">
              <w:marLeft w:val="0"/>
              <w:marRight w:val="0"/>
              <w:marTop w:val="0"/>
              <w:marBottom w:val="0"/>
              <w:divBdr>
                <w:top w:val="none" w:sz="0" w:space="0" w:color="auto"/>
                <w:left w:val="none" w:sz="0" w:space="0" w:color="auto"/>
                <w:bottom w:val="none" w:sz="0" w:space="0" w:color="auto"/>
                <w:right w:val="none" w:sz="0" w:space="0" w:color="auto"/>
              </w:divBdr>
            </w:div>
            <w:div w:id="8662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664">
      <w:bodyDiv w:val="1"/>
      <w:marLeft w:val="0"/>
      <w:marRight w:val="0"/>
      <w:marTop w:val="0"/>
      <w:marBottom w:val="0"/>
      <w:divBdr>
        <w:top w:val="none" w:sz="0" w:space="0" w:color="auto"/>
        <w:left w:val="none" w:sz="0" w:space="0" w:color="auto"/>
        <w:bottom w:val="none" w:sz="0" w:space="0" w:color="auto"/>
        <w:right w:val="none" w:sz="0" w:space="0" w:color="auto"/>
      </w:divBdr>
      <w:divsChild>
        <w:div w:id="1037580791">
          <w:marLeft w:val="0"/>
          <w:marRight w:val="0"/>
          <w:marTop w:val="0"/>
          <w:marBottom w:val="0"/>
          <w:divBdr>
            <w:top w:val="none" w:sz="0" w:space="0" w:color="auto"/>
            <w:left w:val="none" w:sz="0" w:space="0" w:color="auto"/>
            <w:bottom w:val="none" w:sz="0" w:space="0" w:color="auto"/>
            <w:right w:val="none" w:sz="0" w:space="0" w:color="auto"/>
          </w:divBdr>
          <w:divsChild>
            <w:div w:id="143931612">
              <w:marLeft w:val="0"/>
              <w:marRight w:val="0"/>
              <w:marTop w:val="0"/>
              <w:marBottom w:val="0"/>
              <w:divBdr>
                <w:top w:val="none" w:sz="0" w:space="0" w:color="auto"/>
                <w:left w:val="none" w:sz="0" w:space="0" w:color="auto"/>
                <w:bottom w:val="none" w:sz="0" w:space="0" w:color="auto"/>
                <w:right w:val="none" w:sz="0" w:space="0" w:color="auto"/>
              </w:divBdr>
            </w:div>
            <w:div w:id="1356421208">
              <w:marLeft w:val="0"/>
              <w:marRight w:val="0"/>
              <w:marTop w:val="0"/>
              <w:marBottom w:val="0"/>
              <w:divBdr>
                <w:top w:val="none" w:sz="0" w:space="0" w:color="auto"/>
                <w:left w:val="none" w:sz="0" w:space="0" w:color="auto"/>
                <w:bottom w:val="none" w:sz="0" w:space="0" w:color="auto"/>
                <w:right w:val="none" w:sz="0" w:space="0" w:color="auto"/>
              </w:divBdr>
              <w:divsChild>
                <w:div w:id="1513299201">
                  <w:marLeft w:val="0"/>
                  <w:marRight w:val="0"/>
                  <w:marTop w:val="0"/>
                  <w:marBottom w:val="0"/>
                  <w:divBdr>
                    <w:top w:val="none" w:sz="0" w:space="0" w:color="auto"/>
                    <w:left w:val="none" w:sz="0" w:space="0" w:color="auto"/>
                    <w:bottom w:val="none" w:sz="0" w:space="0" w:color="auto"/>
                    <w:right w:val="none" w:sz="0" w:space="0" w:color="auto"/>
                  </w:divBdr>
                  <w:divsChild>
                    <w:div w:id="754326192">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Child>
    </w:div>
    <w:div w:id="1879007809">
      <w:bodyDiv w:val="1"/>
      <w:marLeft w:val="0"/>
      <w:marRight w:val="0"/>
      <w:marTop w:val="0"/>
      <w:marBottom w:val="0"/>
      <w:divBdr>
        <w:top w:val="none" w:sz="0" w:space="0" w:color="auto"/>
        <w:left w:val="none" w:sz="0" w:space="0" w:color="auto"/>
        <w:bottom w:val="none" w:sz="0" w:space="0" w:color="auto"/>
        <w:right w:val="none" w:sz="0" w:space="0" w:color="auto"/>
      </w:divBdr>
      <w:divsChild>
        <w:div w:id="1296259395">
          <w:marLeft w:val="0"/>
          <w:marRight w:val="0"/>
          <w:marTop w:val="0"/>
          <w:marBottom w:val="0"/>
          <w:divBdr>
            <w:top w:val="none" w:sz="0" w:space="0" w:color="auto"/>
            <w:left w:val="none" w:sz="0" w:space="0" w:color="auto"/>
            <w:bottom w:val="none" w:sz="0" w:space="0" w:color="auto"/>
            <w:right w:val="none" w:sz="0" w:space="0" w:color="auto"/>
          </w:divBdr>
          <w:divsChild>
            <w:div w:id="157236184">
              <w:marLeft w:val="0"/>
              <w:marRight w:val="0"/>
              <w:marTop w:val="0"/>
              <w:marBottom w:val="0"/>
              <w:divBdr>
                <w:top w:val="none" w:sz="0" w:space="0" w:color="auto"/>
                <w:left w:val="none" w:sz="0" w:space="0" w:color="auto"/>
                <w:bottom w:val="none" w:sz="0" w:space="0" w:color="auto"/>
                <w:right w:val="none" w:sz="0" w:space="0" w:color="auto"/>
              </w:divBdr>
            </w:div>
            <w:div w:id="15528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r.bu.edu/resources/reasonable-accommodations/what-is-psychiatric-disability-and-mental-illness" TargetMode="External"/><Relationship Id="rId3" Type="http://schemas.openxmlformats.org/officeDocument/2006/relationships/settings" Target="settings.xml"/><Relationship Id="rId7" Type="http://schemas.openxmlformats.org/officeDocument/2006/relationships/hyperlink" Target="http://cpr.bu.edu/resources/reasonable-accommodations/what-is-psychiatric-disability-and-mental-ill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jhu.edu/disabilities/faculty/types_of_disabilities/psychiatric.html" TargetMode="External"/><Relationship Id="rId11" Type="http://schemas.openxmlformats.org/officeDocument/2006/relationships/fontTable" Target="fontTable.xml"/><Relationship Id="rId5" Type="http://schemas.openxmlformats.org/officeDocument/2006/relationships/hyperlink" Target="http://web.jhu.edu/disabilities/faculty/types_of_disabilities/psychiatric.html" TargetMode="External"/><Relationship Id="rId10" Type="http://schemas.openxmlformats.org/officeDocument/2006/relationships/hyperlink" Target="http://web.jhu.edu/disabilities/faculty/types_of_disabilities/psychiatric.html" TargetMode="External"/><Relationship Id="rId4" Type="http://schemas.openxmlformats.org/officeDocument/2006/relationships/webSettings" Target="webSettings.xml"/><Relationship Id="rId9" Type="http://schemas.openxmlformats.org/officeDocument/2006/relationships/hyperlink" Target="http://cpr.bu.edu/resources/reasonable-accommodations/what-is-psychiatric-disability-and-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SeRonna</dc:creator>
  <cp:lastModifiedBy>Mary Olson</cp:lastModifiedBy>
  <cp:revision>2</cp:revision>
  <dcterms:created xsi:type="dcterms:W3CDTF">2015-07-21T15:13:00Z</dcterms:created>
  <dcterms:modified xsi:type="dcterms:W3CDTF">2015-07-21T15:13:00Z</dcterms:modified>
</cp:coreProperties>
</file>