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C" w:rsidRDefault="006A375C">
      <w:pPr>
        <w:pStyle w:val="headingheader"/>
      </w:pPr>
      <w:bookmarkStart w:id="0" w:name="_Toc1"/>
      <w:r>
        <w:t>Report for AgrAbility</w:t>
      </w:r>
      <w:bookmarkEnd w:id="0"/>
    </w:p>
    <w:p w:rsidR="00027F1C" w:rsidRDefault="006A375C">
      <w:r>
        <w:rPr>
          <w:rStyle w:val="grey"/>
        </w:rPr>
        <w:t xml:space="preserve">AgrAbility </w:t>
      </w:r>
    </w:p>
    <w:p w:rsidR="00027F1C" w:rsidRDefault="006A375C">
      <w:pPr>
        <w:pStyle w:val="headingsubHeader"/>
      </w:pPr>
      <w:bookmarkStart w:id="1" w:name="_Toc2"/>
      <w:r>
        <w:t>Response Statistics</w:t>
      </w:r>
      <w:bookmarkEnd w:id="1"/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2974"/>
        <w:gridCol w:w="2937"/>
        <w:gridCol w:w="2949"/>
      </w:tblGrid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Count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Percent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Complete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37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97.4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Partial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2.6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Disqualified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0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0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Total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38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 </w:t>
            </w:r>
          </w:p>
        </w:tc>
      </w:tr>
    </w:tbl>
    <w:p w:rsidR="00027F1C" w:rsidRDefault="006A375C">
      <w:pPr>
        <w:pStyle w:val="headingsubHeader"/>
      </w:pPr>
      <w:bookmarkStart w:id="2" w:name="_Toc4"/>
      <w:r>
        <w:t>Are your consumers primarily from?</w:t>
      </w:r>
      <w:bookmarkEnd w:id="2"/>
    </w:p>
    <w:p w:rsidR="00027F1C" w:rsidRDefault="006A375C">
      <w:r>
        <w:rPr>
          <w:noProof/>
        </w:rPr>
        <w:drawing>
          <wp:inline distT="0" distB="0" distL="0" distR="0">
            <wp:extent cx="5500000" cy="4000000"/>
            <wp:effectExtent l="0" t="0" r="0" b="0"/>
            <wp:docPr id="7" name="Char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27F1C" w:rsidRDefault="00027F1C">
      <w:pPr>
        <w:sectPr w:rsidR="00027F1C">
          <w:pgSz w:w="11870" w:h="16787"/>
          <w:pgMar w:top="1440" w:right="1440" w:bottom="1440" w:left="1440" w:header="720" w:footer="720" w:gutter="0"/>
          <w:cols w:space="720"/>
        </w:sectPr>
      </w:pPr>
    </w:p>
    <w:p w:rsidR="00027F1C" w:rsidRDefault="006A375C">
      <w:pPr>
        <w:pStyle w:val="headingsubHeader"/>
      </w:pPr>
      <w:bookmarkStart w:id="3" w:name="_Toc5"/>
      <w:r>
        <w:lastRenderedPageBreak/>
        <w:t>Have you heard of AgrAbility?</w:t>
      </w:r>
      <w:bookmarkEnd w:id="3"/>
    </w:p>
    <w:p w:rsidR="00027F1C" w:rsidRDefault="006A375C">
      <w:r>
        <w:rPr>
          <w:noProof/>
        </w:rPr>
        <w:drawing>
          <wp:inline distT="0" distB="0" distL="0" distR="0">
            <wp:extent cx="5500000" cy="4000000"/>
            <wp:effectExtent l="0" t="0" r="0" b="0"/>
            <wp:docPr id="8" name="Char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7F1C" w:rsidRDefault="006A375C">
      <w:pPr>
        <w:pStyle w:val="headingsubHeader"/>
      </w:pPr>
      <w:bookmarkStart w:id="4" w:name="_Toc6"/>
      <w:r>
        <w:t>Does your state have an AgrAbility Project?</w:t>
      </w:r>
      <w:bookmarkEnd w:id="4"/>
    </w:p>
    <w:p w:rsidR="00027F1C" w:rsidRDefault="006A375C">
      <w:r>
        <w:rPr>
          <w:noProof/>
        </w:rPr>
        <w:drawing>
          <wp:inline distT="0" distB="0" distL="0" distR="0">
            <wp:extent cx="4356100" cy="3256915"/>
            <wp:effectExtent l="0" t="0" r="6350" b="635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7F1C" w:rsidRDefault="00027F1C">
      <w:pPr>
        <w:sectPr w:rsidR="00027F1C">
          <w:pgSz w:w="11870" w:h="16787"/>
          <w:pgMar w:top="1440" w:right="1440" w:bottom="1440" w:left="1440" w:header="720" w:footer="720" w:gutter="0"/>
          <w:cols w:space="720"/>
        </w:sectPr>
      </w:pPr>
    </w:p>
    <w:p w:rsidR="00027F1C" w:rsidRDefault="006A375C">
      <w:pPr>
        <w:pStyle w:val="headingsubHeader"/>
      </w:pPr>
      <w:bookmarkStart w:id="5" w:name="_Toc7"/>
      <w:r>
        <w:lastRenderedPageBreak/>
        <w:t>If yes, are you working with your state's AgrAbility project?</w:t>
      </w:r>
      <w:bookmarkEnd w:id="5"/>
    </w:p>
    <w:p w:rsidR="00027F1C" w:rsidRDefault="00027F1C"/>
    <w:p w:rsidR="00AC06AD" w:rsidRDefault="006A375C" w:rsidP="00AC06AD">
      <w:r>
        <w:t xml:space="preserve">No answers for this question. </w:t>
      </w:r>
      <w:bookmarkStart w:id="6" w:name="_Toc8"/>
    </w:p>
    <w:p w:rsidR="00AC06AD" w:rsidRDefault="00AC06AD" w:rsidP="00AC06AD"/>
    <w:p w:rsidR="00027F1C" w:rsidRDefault="006A375C" w:rsidP="00AC06AD">
      <w:r>
        <w:t>Does your CIL work with consumers who are involved in agriculture (including urban agriculture)?</w:t>
      </w:r>
      <w:bookmarkEnd w:id="6"/>
    </w:p>
    <w:p w:rsidR="00027F1C" w:rsidRDefault="006A375C">
      <w:r>
        <w:rPr>
          <w:noProof/>
        </w:rPr>
        <w:drawing>
          <wp:inline distT="0" distB="0" distL="0" distR="0">
            <wp:extent cx="4781550" cy="3613150"/>
            <wp:effectExtent l="0" t="0" r="0" b="6350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7F1C" w:rsidRDefault="006A375C">
      <w:pPr>
        <w:pStyle w:val="headingsubHeader"/>
      </w:pPr>
      <w:bookmarkStart w:id="7" w:name="_Toc9"/>
      <w:r>
        <w:t>Approximately how many agricultural consumers do you serve per year?</w:t>
      </w:r>
      <w:bookmarkEnd w:id="7"/>
    </w:p>
    <w:p w:rsidR="00027F1C" w:rsidRDefault="006A375C">
      <w:r>
        <w:rPr>
          <w:noProof/>
        </w:rPr>
        <w:drawing>
          <wp:inline distT="0" distB="0" distL="0" distR="0">
            <wp:extent cx="4598035" cy="3174365"/>
            <wp:effectExtent l="0" t="0" r="0" b="6985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F1C" w:rsidRDefault="00027F1C">
      <w:pPr>
        <w:sectPr w:rsidR="00027F1C">
          <w:pgSz w:w="11870" w:h="16787"/>
          <w:pgMar w:top="1440" w:right="1440" w:bottom="1440" w:left="1440" w:header="720" w:footer="720" w:gutter="0"/>
          <w:cols w:space="720"/>
        </w:sectPr>
      </w:pPr>
    </w:p>
    <w:p w:rsidR="00027F1C" w:rsidRDefault="006A375C">
      <w:pPr>
        <w:pStyle w:val="headingsubHeader"/>
      </w:pPr>
      <w:bookmarkStart w:id="8" w:name="_Toc10"/>
      <w:r>
        <w:lastRenderedPageBreak/>
        <w:t>Have your consumers been able to benefit from the AgrAbility Project?</w:t>
      </w:r>
      <w:bookmarkEnd w:id="8"/>
    </w:p>
    <w:p w:rsidR="00027F1C" w:rsidRDefault="006A375C">
      <w:r>
        <w:rPr>
          <w:noProof/>
        </w:rPr>
        <w:drawing>
          <wp:inline distT="0" distB="0" distL="0" distR="0">
            <wp:extent cx="4743450" cy="3422650"/>
            <wp:effectExtent l="0" t="0" r="0" b="635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F1C" w:rsidRDefault="006A375C">
      <w:pPr>
        <w:pStyle w:val="headingsubHeader"/>
      </w:pPr>
      <w:bookmarkStart w:id="9" w:name="_Toc11"/>
      <w:r>
        <w:t>Which services have you been able to provide to those consumers?</w:t>
      </w:r>
      <w:bookmarkEnd w:id="9"/>
    </w:p>
    <w:p w:rsidR="00027F1C" w:rsidRDefault="006A375C">
      <w:r>
        <w:rPr>
          <w:noProof/>
        </w:rPr>
        <w:drawing>
          <wp:inline distT="0" distB="0" distL="0" distR="0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F1C" w:rsidRDefault="00027F1C">
      <w:pPr>
        <w:sectPr w:rsidR="00027F1C">
          <w:pgSz w:w="11870" w:h="16787"/>
          <w:pgMar w:top="1440" w:right="1440" w:bottom="1440" w:left="1440" w:header="720" w:footer="720" w:gutter="0"/>
          <w:cols w:space="720"/>
        </w:sectPr>
      </w:pPr>
    </w:p>
    <w:p w:rsidR="00027F1C" w:rsidRDefault="006A375C">
      <w:pPr>
        <w:pStyle w:val="headingsubHeader"/>
      </w:pPr>
      <w:bookmarkStart w:id="10" w:name="_Toc12"/>
      <w:r>
        <w:lastRenderedPageBreak/>
        <w:t>If your consumer could not use AgrAbility what other services were beneficial in assisting them?</w:t>
      </w:r>
      <w:bookmarkEnd w:id="10"/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4412"/>
        <w:gridCol w:w="4448"/>
      </w:tblGrid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Count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Response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Core Services  mostly  information and Referral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IL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Local county extension services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NA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assistive </w:t>
            </w:r>
            <w:proofErr w:type="spellStart"/>
            <w:r>
              <w:rPr>
                <w:rStyle w:val="text"/>
              </w:rPr>
              <w:t>technnology</w:t>
            </w:r>
            <w:proofErr w:type="spellEnd"/>
            <w:r>
              <w:rPr>
                <w:rStyle w:val="text"/>
              </w:rPr>
              <w:t xml:space="preserve"> exchange </w:t>
            </w:r>
          </w:p>
        </w:tc>
      </w:tr>
    </w:tbl>
    <w:p w:rsidR="00AC06AD" w:rsidRDefault="00AC06AD">
      <w:pPr>
        <w:pStyle w:val="headingsubHeader"/>
      </w:pPr>
      <w:bookmarkStart w:id="11" w:name="_Toc13"/>
    </w:p>
    <w:p w:rsidR="00027F1C" w:rsidRDefault="006A375C">
      <w:pPr>
        <w:pStyle w:val="headingsubHeader"/>
      </w:pPr>
      <w:r>
        <w:t>Do you have youth and/or young adults that might be interested in working in agriculture?</w:t>
      </w:r>
      <w:bookmarkEnd w:id="11"/>
    </w:p>
    <w:p w:rsidR="00027F1C" w:rsidRDefault="006A375C">
      <w:r>
        <w:rPr>
          <w:noProof/>
        </w:rPr>
        <w:drawing>
          <wp:inline distT="0" distB="0" distL="0" distR="0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F1C" w:rsidRDefault="006A375C">
      <w:pPr>
        <w:pStyle w:val="headingsubHeader"/>
      </w:pPr>
      <w:bookmarkStart w:id="12" w:name="_Toc14"/>
      <w:r>
        <w:lastRenderedPageBreak/>
        <w:t>What information/assistance would help you with consumers involved in agriculture?</w:t>
      </w:r>
      <w:bookmarkEnd w:id="12"/>
    </w:p>
    <w:p w:rsidR="00027F1C" w:rsidRDefault="00027F1C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09"/>
        <w:gridCol w:w="2932"/>
        <w:gridCol w:w="2919"/>
      </w:tblGrid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Count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A resource library related to disability issues in agriculture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42.9%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15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Access to web information related to disability issues in agriculture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68.6%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24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Individual consultations related to specific consumers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37.1%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13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A meeting with AgrAbility staff from my state/region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34.3%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12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A webinar on farm culture/working with farmers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42.9%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15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Information on serving veterans with disabilities interested in agriculture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60.0%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21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Information on assistive technology for agricultural workers with disabilities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74.3%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26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A "path to services" document/website to help guide services for consumers involved in agriculture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71.4%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25 </w:t>
            </w:r>
          </w:p>
        </w:tc>
      </w:tr>
      <w:tr w:rsidR="00027F1C"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Other - Write In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14.3% </w:t>
            </w:r>
          </w:p>
        </w:tc>
        <w:tc>
          <w:tcPr>
            <w:tcW w:w="3120" w:type="dxa"/>
          </w:tcPr>
          <w:p w:rsidR="00027F1C" w:rsidRDefault="006A375C">
            <w:r>
              <w:rPr>
                <w:rStyle w:val="text"/>
              </w:rPr>
              <w:t xml:space="preserve">5 </w:t>
            </w:r>
          </w:p>
        </w:tc>
      </w:tr>
    </w:tbl>
    <w:p w:rsidR="00027F1C" w:rsidRDefault="00027F1C"/>
    <w:p w:rsidR="00027F1C" w:rsidRDefault="00027F1C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4452"/>
        <w:gridCol w:w="4408"/>
      </w:tblGrid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Other - Write In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Count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Funding for Agriculture related </w:t>
            </w:r>
            <w:proofErr w:type="spellStart"/>
            <w:r>
              <w:rPr>
                <w:rStyle w:val="text"/>
              </w:rPr>
              <w:t>Accessiblity</w:t>
            </w:r>
            <w:proofErr w:type="spellEnd"/>
            <w:r>
              <w:rPr>
                <w:rStyle w:val="text"/>
              </w:rPr>
              <w:t xml:space="preserve"> Projects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Funding to help with promoting AgrAbility and assistive technology devices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funding ideas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promotion of CILs to Ag organizations and agencies so they know to refer to us.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Total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4 </w:t>
            </w:r>
          </w:p>
        </w:tc>
      </w:tr>
    </w:tbl>
    <w:p w:rsidR="00AC06AD" w:rsidRDefault="00AC06AD">
      <w:pPr>
        <w:pStyle w:val="headingsubHeader"/>
      </w:pPr>
      <w:bookmarkStart w:id="13" w:name="_Toc15"/>
    </w:p>
    <w:p w:rsidR="00027F1C" w:rsidRDefault="006A375C">
      <w:pPr>
        <w:pStyle w:val="headingsubHeader"/>
      </w:pPr>
      <w:r>
        <w:t>Please provide any questions, feedback or needs.</w:t>
      </w:r>
      <w:bookmarkEnd w:id="13"/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4384"/>
        <w:gridCol w:w="4476"/>
      </w:tblGrid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Count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Response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2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Need Information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I believe all ILC should have a national number to the national project for advice on how to deal with a particular s disability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I believe the current project is underfunded to meet the demands.  It's not that they don't want to work with consumers, it's lack of time and funding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I'm glad you're doing this these type of services/information will be helpful to anyone </w:t>
            </w:r>
            <w:r>
              <w:rPr>
                <w:rStyle w:val="text"/>
              </w:rPr>
              <w:lastRenderedPageBreak/>
              <w:t xml:space="preserve">working with someone in the agricultural field thanks Tom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lastRenderedPageBreak/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No needs have surfaced but that does not mean they </w:t>
            </w:r>
            <w:proofErr w:type="spellStart"/>
            <w:r>
              <w:rPr>
                <w:rStyle w:val="text"/>
              </w:rPr>
              <w:t>ar</w:t>
            </w:r>
            <w:proofErr w:type="spellEnd"/>
            <w:r>
              <w:rPr>
                <w:rStyle w:val="text"/>
              </w:rPr>
              <w:t xml:space="preserve"> </w:t>
            </w:r>
            <w:proofErr w:type="spellStart"/>
            <w:r>
              <w:rPr>
                <w:rStyle w:val="text"/>
              </w:rPr>
              <w:t>enot</w:t>
            </w:r>
            <w:proofErr w:type="spellEnd"/>
            <w:r>
              <w:rPr>
                <w:rStyle w:val="text"/>
              </w:rPr>
              <w:t xml:space="preserve"> there.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These questions are geared towards CIL's which is great but your email said CILs &amp;amp; SILCs.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We have a lot of ag but not a lot of requests for services.  We have an AT Resource Specialist on staff to help find resources.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While I don't work at a CIL, I do know a few folks who are farming in the Matanuska Valley. </w:t>
            </w:r>
          </w:p>
        </w:tc>
      </w:tr>
      <w:tr w:rsidR="00027F1C"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1 </w:t>
            </w:r>
          </w:p>
        </w:tc>
        <w:tc>
          <w:tcPr>
            <w:tcW w:w="4680" w:type="dxa"/>
          </w:tcPr>
          <w:p w:rsidR="00027F1C" w:rsidRDefault="006A375C">
            <w:r>
              <w:rPr>
                <w:rStyle w:val="text"/>
              </w:rPr>
              <w:t xml:space="preserve">Wisconsin pulled back from helping farmers if their farms were running at a loss </w:t>
            </w:r>
            <w:proofErr w:type="spellStart"/>
            <w:r>
              <w:rPr>
                <w:rStyle w:val="text"/>
              </w:rPr>
              <w:t>fyi</w:t>
            </w:r>
            <w:proofErr w:type="spellEnd"/>
            <w:r>
              <w:rPr>
                <w:rStyle w:val="text"/>
              </w:rPr>
              <w:t xml:space="preserve"> </w:t>
            </w:r>
          </w:p>
        </w:tc>
      </w:tr>
    </w:tbl>
    <w:p w:rsidR="00AC06AD" w:rsidRDefault="00AC06AD">
      <w:pPr>
        <w:pStyle w:val="headingsubHeader"/>
      </w:pPr>
      <w:bookmarkStart w:id="14" w:name="_Toc16"/>
      <w:bookmarkStart w:id="15" w:name="_GoBack"/>
      <w:bookmarkEnd w:id="15"/>
    </w:p>
    <w:bookmarkEnd w:id="14"/>
    <w:sectPr w:rsidR="00AC06A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1C"/>
    <w:rsid w:val="00027F1C"/>
    <w:rsid w:val="00532FCC"/>
    <w:rsid w:val="006A375C"/>
    <w:rsid w:val="00AC06AD"/>
    <w:rsid w:val="00E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C00EC-10B0-4B94-8CCF-1DEAE74A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398C-43E3-B7D5-B6164E510101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398C-43E3-B7D5-B6164E510101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398C-43E3-B7D5-B6164E51010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3"/>
              <c:pt idx="0">
                <c:v>Mostly urban/suburban</c:v>
              </c:pt>
              <c:pt idx="1">
                <c:v>Mixture of urban/suburban and rural</c:v>
              </c:pt>
              <c:pt idx="2">
                <c:v>Mostly rural</c:v>
              </c:pt>
            </c:strLit>
          </c:cat>
          <c:val>
            <c:numLit>
              <c:formatCode>General</c:formatCode>
              <c:ptCount val="3"/>
              <c:pt idx="0">
                <c:v>10.8</c:v>
              </c:pt>
              <c:pt idx="1">
                <c:v>40.5</c:v>
              </c:pt>
              <c:pt idx="2">
                <c:v>48.6</c:v>
              </c:pt>
            </c:numLit>
          </c:val>
          <c:extLst>
            <c:ext xmlns:c16="http://schemas.microsoft.com/office/drawing/2014/chart" uri="{C3380CC4-5D6E-409C-BE32-E72D297353CC}">
              <c16:uniqueId val="{00000006-398C-43E3-B7D5-B6164E510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D6D4-4432-86FE-40244FFB1D2A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D6D4-4432-86FE-40244FFB1D2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Lit>
              <c:ptCount val="2"/>
              <c:pt idx="0">
                <c:v>Yes</c:v>
              </c:pt>
              <c:pt idx="1">
                <c:v>No</c:v>
              </c:pt>
            </c:strLit>
          </c:cat>
          <c:val>
            <c:numLit>
              <c:formatCode>General</c:formatCode>
              <c:ptCount val="2"/>
              <c:pt idx="0">
                <c:v>78.400000000000006</c:v>
              </c:pt>
              <c:pt idx="1">
                <c:v>21.6</c:v>
              </c:pt>
            </c:numLit>
          </c:val>
          <c:extLst>
            <c:ext xmlns:c16="http://schemas.microsoft.com/office/drawing/2014/chart" uri="{C3380CC4-5D6E-409C-BE32-E72D297353CC}">
              <c16:uniqueId val="{00000004-D6D4-4432-86FE-40244FFB1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3355-4E9B-B533-90BE23A86996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3355-4E9B-B533-90BE23A86996}"/>
              </c:ext>
            </c:extLst>
          </c:dPt>
          <c:dPt>
            <c:idx val="2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3355-4E9B-B533-90BE23A86996}"/>
              </c:ext>
            </c:extLst>
          </c:dPt>
          <c:dPt>
            <c:idx val="3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3355-4E9B-B533-90BE23A8699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Lit>
              <c:ptCount val="4"/>
              <c:pt idx="0">
                <c:v>Yes</c:v>
              </c:pt>
              <c:pt idx="1">
                <c:v>No</c:v>
              </c:pt>
              <c:pt idx="2">
                <c:v>I don't know</c:v>
              </c:pt>
              <c:pt idx="3">
                <c:v> Affliated Project State </c:v>
              </c:pt>
            </c:strLit>
          </c:cat>
          <c:val>
            <c:numLit>
              <c:formatCode>General</c:formatCode>
              <c:ptCount val="4"/>
              <c:pt idx="0">
                <c:v>24.3</c:v>
              </c:pt>
              <c:pt idx="1">
                <c:v>18.899999999999999</c:v>
              </c:pt>
              <c:pt idx="2">
                <c:v>43.2</c:v>
              </c:pt>
              <c:pt idx="3">
                <c:v>13.5</c:v>
              </c:pt>
            </c:numLit>
          </c:val>
          <c:extLst>
            <c:ext xmlns:c16="http://schemas.microsoft.com/office/drawing/2014/chart" uri="{C3380CC4-5D6E-409C-BE32-E72D297353CC}">
              <c16:uniqueId val="{00000008-3355-4E9B-B533-90BE23A86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4045-4D27-B76C-841DA675CC7D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4045-4D27-B76C-841DA675CC7D}"/>
              </c:ext>
            </c:extLst>
          </c:dPt>
          <c:dPt>
            <c:idx val="2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4045-4D27-B76C-841DA675CC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I don't know</c:v>
              </c:pt>
            </c:strLit>
          </c:cat>
          <c:val>
            <c:numLit>
              <c:formatCode>General</c:formatCode>
              <c:ptCount val="3"/>
              <c:pt idx="0">
                <c:v>54.1</c:v>
              </c:pt>
              <c:pt idx="1">
                <c:v>18.899999999999999</c:v>
              </c:pt>
              <c:pt idx="2">
                <c:v>27</c:v>
              </c:pt>
            </c:numLit>
          </c:val>
          <c:extLst>
            <c:ext xmlns:c16="http://schemas.microsoft.com/office/drawing/2014/chart" uri="{C3380CC4-5D6E-409C-BE32-E72D297353CC}">
              <c16:uniqueId val="{00000006-4045-4D27-B76C-841DA675C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36C5-473B-9D98-B55BDFE502D2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36C5-473B-9D98-B55BDFE502D2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36C5-473B-9D98-B55BDFE502D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3"/>
              <c:pt idx="0">
                <c:v>1-10</c:v>
              </c:pt>
              <c:pt idx="1">
                <c:v>11-25</c:v>
              </c:pt>
              <c:pt idx="2">
                <c:v>26+</c:v>
              </c:pt>
            </c:strLit>
          </c:cat>
          <c:val>
            <c:numLit>
              <c:formatCode>General</c:formatCode>
              <c:ptCount val="3"/>
              <c:pt idx="0">
                <c:v>50</c:v>
              </c:pt>
              <c:pt idx="1">
                <c:v>27.8</c:v>
              </c:pt>
              <c:pt idx="2">
                <c:v>22.2</c:v>
              </c:pt>
            </c:numLit>
          </c:val>
          <c:extLst>
            <c:ext xmlns:c16="http://schemas.microsoft.com/office/drawing/2014/chart" uri="{C3380CC4-5D6E-409C-BE32-E72D297353CC}">
              <c16:uniqueId val="{00000006-36C5-473B-9D98-B55BDFE50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5551-4506-AE02-0839610AB4E7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5551-4506-AE02-0839610AB4E7}"/>
              </c:ext>
            </c:extLst>
          </c:dPt>
          <c:dPt>
            <c:idx val="2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5551-4506-AE02-0839610AB4E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I don't know</c:v>
              </c:pt>
            </c:strLit>
          </c:cat>
          <c:val>
            <c:numLit>
              <c:formatCode>General</c:formatCode>
              <c:ptCount val="3"/>
              <c:pt idx="0">
                <c:v>25</c:v>
              </c:pt>
              <c:pt idx="1">
                <c:v>30</c:v>
              </c:pt>
              <c:pt idx="2">
                <c:v>45</c:v>
              </c:pt>
            </c:numLit>
          </c:val>
          <c:extLst>
            <c:ext xmlns:c16="http://schemas.microsoft.com/office/drawing/2014/chart" uri="{C3380CC4-5D6E-409C-BE32-E72D297353CC}">
              <c16:uniqueId val="{00000006-5551-4506-AE02-0839610A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DB92-4A04-8B7D-83DD25929B8B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DB92-4A04-8B7D-83DD25929B8B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DB92-4A04-8B7D-83DD25929B8B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DB92-4A04-8B7D-83DD25929B8B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DB92-4A04-8B7D-83DD25929B8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5"/>
              <c:pt idx="0">
                <c:v>Information and Referral</c:v>
              </c:pt>
              <c:pt idx="1">
                <c:v>Independent Living Services</c:v>
              </c:pt>
              <c:pt idx="2">
                <c:v>Peer Mentoring and Support</c:v>
              </c:pt>
              <c:pt idx="3">
                <c:v>Individual and Systems Advocacy</c:v>
              </c:pt>
              <c:pt idx="4">
                <c:v>Transition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60</c:v>
              </c:pt>
              <c:pt idx="2">
                <c:v>40</c:v>
              </c:pt>
              <c:pt idx="3">
                <c:v>60</c:v>
              </c:pt>
              <c:pt idx="4">
                <c:v>60</c:v>
              </c:pt>
            </c:numLit>
          </c:val>
          <c:extLst>
            <c:ext xmlns:c16="http://schemas.microsoft.com/office/drawing/2014/chart" uri="{C3380CC4-5D6E-409C-BE32-E72D297353CC}">
              <c16:uniqueId val="{0000000A-DB92-4A04-8B7D-83DD25929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83F0-4914-80AF-7E23E6EA9B0F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83F0-4914-80AF-7E23E6EA9B0F}"/>
              </c:ext>
            </c:extLst>
          </c:dPt>
          <c:dPt>
            <c:idx val="2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83F0-4914-80AF-7E23E6EA9B0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I don't know</c:v>
              </c:pt>
            </c:strLit>
          </c:cat>
          <c:val>
            <c:numLit>
              <c:formatCode>General</c:formatCode>
              <c:ptCount val="3"/>
              <c:pt idx="0">
                <c:v>48.6</c:v>
              </c:pt>
              <c:pt idx="1">
                <c:v>10.8</c:v>
              </c:pt>
              <c:pt idx="2">
                <c:v>40.5</c:v>
              </c:pt>
            </c:numLit>
          </c:val>
          <c:extLst>
            <c:ext xmlns:c16="http://schemas.microsoft.com/office/drawing/2014/chart" uri="{C3380CC4-5D6E-409C-BE32-E72D297353CC}">
              <c16:uniqueId val="{00000006-83F0-4914-80AF-7E23E6EA9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Paul Jones</cp:lastModifiedBy>
  <cp:revision>3</cp:revision>
  <dcterms:created xsi:type="dcterms:W3CDTF">2017-06-13T19:50:00Z</dcterms:created>
  <dcterms:modified xsi:type="dcterms:W3CDTF">2017-10-21T14:44:00Z</dcterms:modified>
  <cp:category/>
</cp:coreProperties>
</file>